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rPr>
          <w:rFonts w:ascii="Times New Roman" w:hAnsi="Times New Roman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5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20"/>
        <w:gridCol w:w="1843"/>
        <w:gridCol w:w="2410"/>
        <w:gridCol w:w="849"/>
        <w:gridCol w:w="1134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4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7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7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27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Style w:val="7"/>
                <w:rFonts w:hint="eastAsia" w:ascii="Times New Roman" w:hAnsi="宋体" w:eastAsia="方正仿宋_GBK" w:cs="Tahom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44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 w:cs="Times New Roman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宋体" w:eastAsia="方正仿宋_GBK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宋体" w:eastAsia="方正仿宋_GBK"/>
                <w:b/>
                <w:color w:val="000000"/>
                <w:sz w:val="28"/>
                <w:szCs w:val="28"/>
                <w:shd w:val="clear" w:color="auto" w:fill="FFFFFF"/>
              </w:rPr>
              <w:t>拟申报等级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332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9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桑枝叶多元化利用研究与示范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黄先智、沈以红、丁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雯、罗莉、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李龙、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林仕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梅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罗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理勇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、黄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传书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、段彪、向钊</w:t>
            </w:r>
          </w:p>
        </w:tc>
        <w:tc>
          <w:tcPr>
            <w:tcW w:w="1271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西南大学、中国农业科学院蚕业研究所、重庆市蚕业科学技术研究院 </w:t>
            </w:r>
          </w:p>
        </w:tc>
        <w:tc>
          <w:tcPr>
            <w:tcW w:w="448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宋体" w:eastAsia="方正仿宋_GBK"/>
                <w:color w:val="000000"/>
                <w:sz w:val="28"/>
                <w:szCs w:val="28"/>
                <w:shd w:val="clear" w:color="auto" w:fill="FFFFFF"/>
              </w:rPr>
              <w:t>科技进步奖</w:t>
            </w:r>
          </w:p>
        </w:tc>
        <w:tc>
          <w:tcPr>
            <w:tcW w:w="598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宋体" w:eastAsia="方正仿宋_GBK"/>
                <w:color w:val="000000"/>
                <w:sz w:val="28"/>
                <w:szCs w:val="28"/>
                <w:shd w:val="clear" w:color="auto" w:fill="FFFFFF"/>
              </w:rPr>
              <w:t>重庆市教育委员会</w:t>
            </w:r>
          </w:p>
        </w:tc>
        <w:tc>
          <w:tcPr>
            <w:tcW w:w="629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二等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/>
          <w:sz w:val="24"/>
          <w:szCs w:val="32"/>
        </w:rPr>
      </w:pPr>
    </w:p>
    <w:p>
      <w:pPr>
        <w:spacing w:afterLines="50" w:line="400" w:lineRule="exact"/>
        <w:rPr>
          <w:rFonts w:ascii="Times New Roman" w:hAnsi="宋体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二、项目简介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桑枝叶多元化利用研究与应用项目，历经11年研究，</w:t>
      </w:r>
      <w:r>
        <w:rPr>
          <w:rFonts w:ascii="仿宋" w:hAnsi="仿宋" w:eastAsia="仿宋"/>
          <w:sz w:val="24"/>
        </w:rPr>
        <w:t>发现桑叶活性成分</w:t>
      </w:r>
      <w:r>
        <w:rPr>
          <w:rFonts w:hint="eastAsia" w:ascii="仿宋" w:hAnsi="仿宋" w:eastAsia="仿宋"/>
          <w:sz w:val="24"/>
        </w:rPr>
        <w:t>改善肝脏和肠道健康的</w:t>
      </w:r>
      <w:r>
        <w:rPr>
          <w:rFonts w:ascii="仿宋" w:hAnsi="仿宋" w:eastAsia="仿宋"/>
          <w:sz w:val="24"/>
        </w:rPr>
        <w:t>新功能，</w:t>
      </w:r>
      <w:r>
        <w:rPr>
          <w:rFonts w:hint="eastAsia" w:ascii="仿宋" w:hAnsi="仿宋" w:eastAsia="仿宋"/>
          <w:sz w:val="24"/>
        </w:rPr>
        <w:t>解决了加工关键技术问题，大幅提升了产品感官品质，</w:t>
      </w:r>
      <w:r>
        <w:rPr>
          <w:rFonts w:ascii="仿宋" w:hAnsi="仿宋" w:eastAsia="仿宋"/>
          <w:sz w:val="24"/>
        </w:rPr>
        <w:t>支撑我国桑叶健康食品产业新发展</w:t>
      </w:r>
      <w:r>
        <w:rPr>
          <w:rFonts w:hint="eastAsia" w:ascii="仿宋" w:hAnsi="仿宋" w:eastAsia="仿宋"/>
          <w:sz w:val="24"/>
        </w:rPr>
        <w:t>。项目制订了饲料用桑叶粉行业标准，确定了桑枝叶作为优质蛋白源饲料和功能饲料两大技术路线，</w:t>
      </w:r>
      <w:r>
        <w:rPr>
          <w:rFonts w:ascii="仿宋" w:hAnsi="仿宋" w:eastAsia="仿宋"/>
          <w:sz w:val="24"/>
        </w:rPr>
        <w:t>建立</w:t>
      </w:r>
      <w:r>
        <w:rPr>
          <w:rFonts w:hint="eastAsia" w:ascii="仿宋" w:hAnsi="仿宋" w:eastAsia="仿宋"/>
          <w:sz w:val="24"/>
        </w:rPr>
        <w:t>了</w:t>
      </w:r>
      <w:r>
        <w:rPr>
          <w:rFonts w:ascii="仿宋" w:hAnsi="仿宋" w:eastAsia="仿宋"/>
          <w:sz w:val="24"/>
        </w:rPr>
        <w:t>我国桑枝叶饲料化</w:t>
      </w:r>
      <w:r>
        <w:rPr>
          <w:rFonts w:hint="eastAsia" w:ascii="仿宋" w:hAnsi="仿宋" w:eastAsia="仿宋"/>
          <w:sz w:val="24"/>
        </w:rPr>
        <w:t>加工和</w:t>
      </w:r>
      <w:r>
        <w:rPr>
          <w:rFonts w:ascii="仿宋" w:hAnsi="仿宋" w:eastAsia="仿宋"/>
          <w:sz w:val="24"/>
        </w:rPr>
        <w:t>利用技术体系，</w:t>
      </w:r>
      <w:r>
        <w:rPr>
          <w:rFonts w:hint="eastAsia" w:ascii="仿宋" w:hAnsi="仿宋" w:eastAsia="仿宋"/>
          <w:sz w:val="24"/>
        </w:rPr>
        <w:t>推动了以饲料桑为代表的</w:t>
      </w:r>
      <w:r>
        <w:rPr>
          <w:rFonts w:ascii="仿宋" w:hAnsi="仿宋" w:eastAsia="仿宋"/>
          <w:sz w:val="24"/>
        </w:rPr>
        <w:t>新型饲草资源开发</w:t>
      </w:r>
      <w:r>
        <w:rPr>
          <w:rFonts w:hint="eastAsia" w:ascii="仿宋" w:hAnsi="仿宋" w:eastAsia="仿宋"/>
          <w:sz w:val="24"/>
        </w:rPr>
        <w:t>与利用，促进我国畜牧业高质量发展。项目服务于国家</w:t>
      </w:r>
      <w:r>
        <w:rPr>
          <w:rFonts w:ascii="仿宋" w:hAnsi="仿宋" w:eastAsia="仿宋"/>
          <w:sz w:val="24"/>
        </w:rPr>
        <w:t>脱贫攻坚与乡村振兴战略</w:t>
      </w:r>
      <w:r>
        <w:rPr>
          <w:rFonts w:hint="eastAsia" w:ascii="仿宋" w:hAnsi="仿宋" w:eastAsia="仿宋"/>
          <w:sz w:val="24"/>
        </w:rPr>
        <w:t>，2016-2020年间，桑叶茶、桑叶粉、桑枝食用菌、桑枝叶饲料等相关成果在重庆市、四川省、云南省等地得到推广应用，促进了当地桑叶健康食品、桑枝食用菌产业和养殖产业提质增效</w:t>
      </w:r>
      <w:r>
        <w:rPr>
          <w:rFonts w:ascii="仿宋" w:hAnsi="仿宋" w:eastAsia="仿宋"/>
          <w:sz w:val="24"/>
        </w:rPr>
        <w:t>，带动专用合作社</w:t>
      </w:r>
      <w:r>
        <w:rPr>
          <w:rFonts w:hint="eastAsia" w:ascii="仿宋" w:hAnsi="仿宋" w:eastAsia="仿宋"/>
          <w:sz w:val="24"/>
        </w:rPr>
        <w:t>14</w:t>
      </w:r>
      <w:r>
        <w:rPr>
          <w:rFonts w:ascii="仿宋" w:hAnsi="仿宋" w:eastAsia="仿宋"/>
          <w:sz w:val="24"/>
        </w:rPr>
        <w:t>个，直接受益农户达</w:t>
      </w:r>
      <w:r>
        <w:rPr>
          <w:rFonts w:hint="eastAsia" w:ascii="仿宋" w:hAnsi="仿宋" w:eastAsia="仿宋"/>
          <w:sz w:val="24"/>
        </w:rPr>
        <w:t>1.55万</w:t>
      </w:r>
      <w:r>
        <w:rPr>
          <w:rFonts w:ascii="仿宋" w:hAnsi="仿宋" w:eastAsia="仿宋"/>
          <w:sz w:val="24"/>
        </w:rPr>
        <w:t>余户，</w:t>
      </w:r>
      <w:r>
        <w:rPr>
          <w:rFonts w:hint="eastAsia" w:ascii="仿宋" w:hAnsi="仿宋" w:eastAsia="仿宋"/>
          <w:sz w:val="24"/>
        </w:rPr>
        <w:t>五年累计实现经济效益22.165</w:t>
      </w:r>
      <w:r>
        <w:rPr>
          <w:rFonts w:ascii="仿宋" w:hAnsi="仿宋" w:eastAsia="仿宋"/>
          <w:sz w:val="24"/>
        </w:rPr>
        <w:t>亿元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为相关区域脱贫摘帽，持续发力巩固提升脱贫攻坚成果作出了重要贡献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项目</w:t>
      </w:r>
      <w:r>
        <w:rPr>
          <w:rFonts w:hint="eastAsia" w:ascii="仿宋" w:hAnsi="仿宋" w:eastAsia="仿宋"/>
          <w:sz w:val="24"/>
        </w:rPr>
        <w:t>主持</w:t>
      </w:r>
      <w:r>
        <w:rPr>
          <w:rFonts w:ascii="仿宋" w:hAnsi="仿宋" w:eastAsia="仿宋"/>
          <w:sz w:val="24"/>
        </w:rPr>
        <w:t>制订了行业标准1项，出版专著1本，获得国家发明专利2 项，发表研究论文</w:t>
      </w:r>
      <w:r>
        <w:rPr>
          <w:rFonts w:hint="eastAsia" w:ascii="仿宋" w:hAnsi="仿宋" w:eastAsia="仿宋"/>
          <w:sz w:val="24"/>
        </w:rPr>
        <w:t>31</w:t>
      </w:r>
      <w:r>
        <w:rPr>
          <w:rFonts w:ascii="仿宋" w:hAnsi="仿宋" w:eastAsia="仿宋"/>
          <w:sz w:val="24"/>
        </w:rPr>
        <w:t>篇</w:t>
      </w:r>
      <w:r>
        <w:rPr>
          <w:rFonts w:hint="eastAsia" w:ascii="仿宋" w:hAnsi="仿宋" w:eastAsia="仿宋"/>
          <w:sz w:val="24"/>
        </w:rPr>
        <w:t>。专家评价认为“该项成果对于推进我国蚕桑多元化利用，特别是桑枝叶动物饲料开发有重要作用，整体技术达到国内领先水平”。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ind w:left="482"/>
        <w:rPr>
          <w:rFonts w:ascii="宋体" w:hAnsi="宋体" w:eastAsia="宋体" w:cs="Times New Roman"/>
          <w:b/>
          <w:bCs/>
          <w:color w:val="000000"/>
          <w:sz w:val="24"/>
        </w:rPr>
      </w:pP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spacing w:afterLines="50" w:line="400" w:lineRule="exact"/>
        <w:rPr>
          <w:rFonts w:ascii="Times New Roman" w:hAnsi="Times New Roman" w:eastAsia="方正仿宋_GBK"/>
          <w:sz w:val="24"/>
          <w:szCs w:val="32"/>
        </w:rPr>
      </w:pPr>
    </w:p>
    <w:p>
      <w:pPr>
        <w:spacing w:afterLines="50" w:line="400" w:lineRule="exact"/>
        <w:rPr>
          <w:rFonts w:ascii="Times New Roman" w:hAnsi="Times New Roman" w:eastAsia="方正仿宋_GBK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宋体" w:eastAsia="方正仿宋_GBK"/>
          <w:b/>
          <w:color w:val="000000"/>
          <w:sz w:val="28"/>
          <w:szCs w:val="28"/>
          <w:shd w:val="clear" w:color="auto" w:fill="FFFFFF"/>
        </w:rPr>
        <w:t>三、主要知识产权和标准规范等目录</w:t>
      </w:r>
    </w:p>
    <w:tbl>
      <w:tblPr>
        <w:tblStyle w:val="4"/>
        <w:tblW w:w="9923" w:type="dxa"/>
        <w:tblInd w:w="-276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34"/>
        <w:gridCol w:w="1134"/>
        <w:gridCol w:w="693"/>
        <w:gridCol w:w="1008"/>
        <w:gridCol w:w="992"/>
        <w:gridCol w:w="1134"/>
        <w:gridCol w:w="1843"/>
        <w:gridCol w:w="141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知识产权类别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知识产权具体名称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国家（地区）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授权号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授权日期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权利人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b/>
                <w:kern w:val="0"/>
                <w:sz w:val="24"/>
              </w:rPr>
              <w:t>发明人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其他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饲料用桑叶粉</w:t>
            </w:r>
          </w:p>
        </w:tc>
        <w:tc>
          <w:tcPr>
            <w:tcW w:w="69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</w:t>
            </w:r>
          </w:p>
        </w:tc>
        <w:tc>
          <w:tcPr>
            <w:tcW w:w="100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2013.04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SB/T 10998-2013</w:t>
            </w:r>
          </w:p>
        </w:tc>
        <w:tc>
          <w:tcPr>
            <w:tcW w:w="184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中国农业科学院蚕业研究所</w:t>
            </w:r>
          </w:p>
        </w:tc>
        <w:tc>
          <w:tcPr>
            <w:tcW w:w="1417" w:type="dxa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李龙、吴萍、廖森泰、邝哲师、崔为正、肖更生、黄先智、罗国庆、陈涛、于振诚、袁宗泉、刘利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其他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中国桑树生态产业研究</w:t>
            </w:r>
          </w:p>
        </w:tc>
        <w:tc>
          <w:tcPr>
            <w:tcW w:w="69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</w:t>
            </w:r>
          </w:p>
        </w:tc>
        <w:tc>
          <w:tcPr>
            <w:tcW w:w="100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afterLines="50" w:line="300" w:lineRule="exact"/>
              <w:rPr>
                <w:rFonts w:hint="default" w:ascii="Times New Roman" w:hAnsi="Times New Roman" w:eastAsia="方正仿宋_GBK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  <w:lang w:val="en-US" w:eastAsia="zh-CN"/>
              </w:rPr>
              <w:t>2017.02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beforeLines="50" w:afterLines="50"/>
              <w:rPr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西南大学</w:t>
            </w:r>
          </w:p>
        </w:tc>
        <w:tc>
          <w:tcPr>
            <w:tcW w:w="1417" w:type="dxa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黄先智、秦俭、沈以红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发明专利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低草腥味桑叶茶的制备方法及其产品</w:t>
            </w:r>
          </w:p>
        </w:tc>
        <w:tc>
          <w:tcPr>
            <w:tcW w:w="69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</w:t>
            </w:r>
          </w:p>
        </w:tc>
        <w:tc>
          <w:tcPr>
            <w:tcW w:w="100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ZL 2012 1 0357445.6</w:t>
            </w:r>
          </w:p>
        </w:tc>
        <w:tc>
          <w:tcPr>
            <w:tcW w:w="992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2013.12.18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1323820</w:t>
            </w:r>
          </w:p>
        </w:tc>
        <w:tc>
          <w:tcPr>
            <w:tcW w:w="1843" w:type="dxa"/>
          </w:tcPr>
          <w:p>
            <w:pPr>
              <w:spacing w:beforeLines="50" w:afterLines="50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西南大学</w:t>
            </w:r>
          </w:p>
        </w:tc>
        <w:tc>
          <w:tcPr>
            <w:tcW w:w="1417" w:type="dxa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罗理勇 黄先智 陆小腾驾、童华荣、曾亮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发明专利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一种桑叶发酵饲料配料及其生产方法和用途</w:t>
            </w:r>
          </w:p>
        </w:tc>
        <w:tc>
          <w:tcPr>
            <w:tcW w:w="69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</w:t>
            </w:r>
          </w:p>
        </w:tc>
        <w:tc>
          <w:tcPr>
            <w:tcW w:w="100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ZL 2014 1 0102720.9</w:t>
            </w:r>
          </w:p>
        </w:tc>
        <w:tc>
          <w:tcPr>
            <w:tcW w:w="992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2015.08.19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1758172</w:t>
            </w:r>
          </w:p>
        </w:tc>
        <w:tc>
          <w:tcPr>
            <w:tcW w:w="1843" w:type="dxa"/>
          </w:tcPr>
          <w:p>
            <w:pPr>
              <w:spacing w:beforeLines="50" w:afterLines="50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四川金雨农业股份有限公司</w:t>
            </w:r>
          </w:p>
        </w:tc>
        <w:tc>
          <w:tcPr>
            <w:tcW w:w="1417" w:type="dxa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刘书、黄先智 、秦俭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实用新型专利权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一种饲料桑叶烘干机</w:t>
            </w:r>
          </w:p>
        </w:tc>
        <w:tc>
          <w:tcPr>
            <w:tcW w:w="693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中国</w:t>
            </w:r>
          </w:p>
        </w:tc>
        <w:tc>
          <w:tcPr>
            <w:tcW w:w="1008" w:type="dxa"/>
          </w:tcPr>
          <w:p>
            <w:pPr>
              <w:widowControl/>
              <w:spacing w:beforeLines="50" w:afterLines="50" w:line="300" w:lineRule="exact"/>
              <w:rPr>
                <w:rFonts w:hint="default" w:ascii="Times New Roman" w:hAnsi="Times New Roman" w:eastAsia="方正仿宋_GBK" w:cs="宋体"/>
                <w:kern w:val="0"/>
                <w:szCs w:val="21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CN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  <w:lang w:val="en-US" w:eastAsia="zh-CN"/>
              </w:rPr>
              <w:t>208042677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  <w:u w:val="single"/>
                <w:lang w:val="en-US" w:eastAsia="zh-CN"/>
              </w:rPr>
              <w:t>U</w:t>
            </w:r>
            <w:bookmarkEnd w:id="0"/>
          </w:p>
        </w:tc>
        <w:tc>
          <w:tcPr>
            <w:tcW w:w="992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2018.11.02</w:t>
            </w:r>
          </w:p>
        </w:tc>
        <w:tc>
          <w:tcPr>
            <w:tcW w:w="1134" w:type="dxa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8031193</w:t>
            </w:r>
          </w:p>
        </w:tc>
        <w:tc>
          <w:tcPr>
            <w:tcW w:w="1843" w:type="dxa"/>
          </w:tcPr>
          <w:p>
            <w:pPr>
              <w:spacing w:beforeLines="50" w:afterLines="50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重庆桑源养殖有限公司</w:t>
            </w:r>
          </w:p>
        </w:tc>
        <w:tc>
          <w:tcPr>
            <w:tcW w:w="1417" w:type="dxa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桑子龙 黄先智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云南云岭牛桑叶营养价值的评价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2019.09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西南大学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王宁伟、黄先智、黄必志、刘建勇、沈以红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桑叶青贮中的微生物变化与青贮品质改良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2020.09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西南大学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徐泽平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,肖润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,沈诗桀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沈以红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黄先智</w:t>
            </w:r>
            <w:r>
              <w:rPr>
                <w:rFonts w:hint="eastAsia" w:ascii="Times New Roman" w:hAnsi="Times New Roman" w:eastAsia="方正仿宋_GBK" w:cs="宋体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Cs w:val="21"/>
              </w:rPr>
              <w:t>向钊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</w:rPr>
              <w:t>Effects of dietary mulberry leaf extract on the growth, gastrointestinal,hepatic functions of Chinese giant salamander (Andrias davidianus</w:t>
            </w:r>
          </w:p>
        </w:tc>
        <w:tc>
          <w:tcPr>
            <w:tcW w:w="693" w:type="dxa"/>
          </w:tcPr>
          <w:p>
            <w:pPr>
              <w:spacing w:beforeLines="50" w:afterLines="50"/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  <w:lang w:val="en-US" w:eastAsia="zh-CN"/>
              </w:rPr>
              <w:t>2020.03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西南大学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ascii="Helvetica" w:hAnsi="Helvetica"/>
                <w:color w:val="555555"/>
                <w:szCs w:val="21"/>
                <w:shd w:val="clear" w:color="auto" w:fill="FFFFFF"/>
              </w:rPr>
              <w:t>Zhanfu Li, Xiaochuan Chen, Yongjun Chen, Weilong Li, Qifeng Feng, Haodi Zhang, Xianzhi Huang, Li Luo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1-脱氧野尻霉素对肥胖小鼠脂代谢的影响及机理</w:t>
            </w:r>
          </w:p>
        </w:tc>
        <w:tc>
          <w:tcPr>
            <w:tcW w:w="693" w:type="dxa"/>
          </w:tcPr>
          <w:p>
            <w:pPr>
              <w:spacing w:beforeLines="50" w:afterLines="50"/>
              <w:rPr>
                <w:rFonts w:ascii="Times New Roman" w:hAnsi="Times New Roman" w:eastAsia="方正仿宋_GBK" w:cs="宋体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2018.01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西南大学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王玲、曾艺涛、黄先智、丁晓雯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桑叶生物碱对高脂饮食诱导小鼠肝损伤的改善作用及机理</w:t>
            </w:r>
          </w:p>
        </w:tc>
        <w:tc>
          <w:tcPr>
            <w:tcW w:w="693" w:type="dxa"/>
          </w:tcPr>
          <w:p>
            <w:pPr>
              <w:spacing w:beforeLines="50" w:afterLines="50"/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201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.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 w:line="3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Lines="50" w:afterLines="50"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西南大学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  <w:t>王祖文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  <w:t>杨忠敏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  <w:t>杨敏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  <w:t>黄先智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 w:eastAsia="方正仿宋_GBK" w:cs="宋体"/>
                <w:kern w:val="0"/>
                <w:sz w:val="24"/>
                <w:szCs w:val="20"/>
              </w:rPr>
              <w:t>丁晓雯</w:t>
            </w:r>
          </w:p>
        </w:tc>
      </w:tr>
    </w:tbl>
    <w:p/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9D"/>
    <w:rsid w:val="000B2478"/>
    <w:rsid w:val="00172CB9"/>
    <w:rsid w:val="002A259D"/>
    <w:rsid w:val="002E5C53"/>
    <w:rsid w:val="00407A77"/>
    <w:rsid w:val="004E070F"/>
    <w:rsid w:val="004F39CA"/>
    <w:rsid w:val="00593C9D"/>
    <w:rsid w:val="005F1C10"/>
    <w:rsid w:val="006754BD"/>
    <w:rsid w:val="0067707E"/>
    <w:rsid w:val="00716838"/>
    <w:rsid w:val="007B5978"/>
    <w:rsid w:val="007C5A7F"/>
    <w:rsid w:val="0091154E"/>
    <w:rsid w:val="00940302"/>
    <w:rsid w:val="00A8600B"/>
    <w:rsid w:val="00B54A3E"/>
    <w:rsid w:val="00BF73D8"/>
    <w:rsid w:val="00C203FC"/>
    <w:rsid w:val="00C220EC"/>
    <w:rsid w:val="00E429CA"/>
    <w:rsid w:val="00E95479"/>
    <w:rsid w:val="00F20144"/>
    <w:rsid w:val="00F46A6F"/>
    <w:rsid w:val="00F53DC1"/>
    <w:rsid w:val="00FA5EC2"/>
    <w:rsid w:val="0CEA15AC"/>
    <w:rsid w:val="247C466D"/>
    <w:rsid w:val="71B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71A9E-6399-45A6-88F0-EA14E583E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225</Words>
  <Characters>1285</Characters>
  <Lines>10</Lines>
  <Paragraphs>3</Paragraphs>
  <TotalTime>11</TotalTime>
  <ScaleCrop>false</ScaleCrop>
  <LinksUpToDate>false</LinksUpToDate>
  <CharactersWithSpaces>1507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2021-09-02T07:36:00Z</dcterms:created>
  <dc:creator>张莲</dc:creator>
  <cp:lastModifiedBy>黄金万两</cp:lastModifiedBy>
  <dcterms:modified xsi:type="dcterms:W3CDTF">2021-09-08T07:17:37Z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CDC51FCB36494AE09FC07BB8CAF9D35C</vt:lpwstr>
  </property>
</Properties>
</file>