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2D31"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946"/>
        <w:gridCol w:w="5003"/>
        <w:gridCol w:w="1701"/>
        <w:gridCol w:w="1984"/>
        <w:gridCol w:w="1418"/>
        <w:gridCol w:w="1560"/>
        <w:gridCol w:w="1623"/>
      </w:tblGrid>
      <w:tr w:rsidR="002A259D" w:rsidRPr="00CE59DA" w14:paraId="2D93A83C" w14:textId="77777777" w:rsidTr="00B77A52">
        <w:trPr>
          <w:jc w:val="center"/>
        </w:trPr>
        <w:tc>
          <w:tcPr>
            <w:tcW w:w="332" w:type="pct"/>
            <w:vAlign w:val="center"/>
          </w:tcPr>
          <w:p w14:paraId="192E6734"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1757" w:type="pct"/>
            <w:vAlign w:val="center"/>
          </w:tcPr>
          <w:p w14:paraId="2439E46C"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597" w:type="pct"/>
            <w:vAlign w:val="center"/>
          </w:tcPr>
          <w:p w14:paraId="5BFCD55B"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697" w:type="pct"/>
            <w:vAlign w:val="center"/>
          </w:tcPr>
          <w:p w14:paraId="0D91E0E6"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98" w:type="pct"/>
            <w:vAlign w:val="center"/>
          </w:tcPr>
          <w:p w14:paraId="306D8D0E"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48" w:type="pct"/>
            <w:vAlign w:val="center"/>
          </w:tcPr>
          <w:p w14:paraId="75C92015" w14:textId="77777777"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570" w:type="pct"/>
            <w:vAlign w:val="center"/>
          </w:tcPr>
          <w:p w14:paraId="3FE0C934" w14:textId="77777777"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14:paraId="722BA746" w14:textId="77777777" w:rsidTr="00B77A52">
        <w:trPr>
          <w:trHeight w:val="1226"/>
          <w:jc w:val="center"/>
        </w:trPr>
        <w:tc>
          <w:tcPr>
            <w:tcW w:w="332" w:type="pct"/>
            <w:vAlign w:val="center"/>
          </w:tcPr>
          <w:p w14:paraId="14A9BF32" w14:textId="77777777"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1757" w:type="pct"/>
            <w:vAlign w:val="center"/>
          </w:tcPr>
          <w:p w14:paraId="4F1899E2" w14:textId="6C07E539" w:rsidR="002A259D" w:rsidRPr="00CE59DA" w:rsidRDefault="00F10620" w:rsidP="00454EC8">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膜蛋白在植物养分和有机物运输过程中的作用机制研究</w:t>
            </w:r>
          </w:p>
        </w:tc>
        <w:tc>
          <w:tcPr>
            <w:tcW w:w="597" w:type="pct"/>
            <w:vAlign w:val="center"/>
          </w:tcPr>
          <w:p w14:paraId="7DD46032" w14:textId="4D0F6E2F" w:rsidR="00B04353" w:rsidRPr="00CE59DA" w:rsidRDefault="00F10620"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李楠楠</w:t>
            </w:r>
          </w:p>
        </w:tc>
        <w:tc>
          <w:tcPr>
            <w:tcW w:w="697" w:type="pct"/>
            <w:vAlign w:val="center"/>
          </w:tcPr>
          <w:p w14:paraId="577B49FC" w14:textId="77777777" w:rsidR="002A259D" w:rsidRPr="00CE59DA" w:rsidRDefault="00B04353"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西南大学</w:t>
            </w:r>
          </w:p>
        </w:tc>
        <w:tc>
          <w:tcPr>
            <w:tcW w:w="498" w:type="pct"/>
            <w:vAlign w:val="center"/>
          </w:tcPr>
          <w:p w14:paraId="2FD23113" w14:textId="77777777" w:rsidR="002A259D" w:rsidRPr="00CE59DA" w:rsidRDefault="00704237" w:rsidP="004845CD">
            <w:pPr>
              <w:spacing w:line="300" w:lineRule="exact"/>
              <w:rPr>
                <w:rFonts w:ascii="Times New Roman" w:eastAsia="方正仿宋_GBK" w:hAnsi="Times New Roman" w:cs="Times New Roman"/>
                <w:sz w:val="28"/>
                <w:szCs w:val="28"/>
              </w:rPr>
            </w:pPr>
            <w:r>
              <w:rPr>
                <w:rFonts w:ascii="Times New Roman" w:eastAsia="方正仿宋_GBK" w:hAnsi="宋体" w:hint="eastAsia"/>
                <w:color w:val="000000"/>
                <w:sz w:val="28"/>
                <w:szCs w:val="28"/>
                <w:shd w:val="clear" w:color="auto" w:fill="FFFFFF"/>
              </w:rPr>
              <w:t>自然科学奖</w:t>
            </w:r>
          </w:p>
        </w:tc>
        <w:tc>
          <w:tcPr>
            <w:tcW w:w="548" w:type="pct"/>
            <w:vAlign w:val="center"/>
          </w:tcPr>
          <w:p w14:paraId="2DB1684A" w14:textId="77777777"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570" w:type="pct"/>
            <w:vAlign w:val="center"/>
          </w:tcPr>
          <w:p w14:paraId="09FAB62E" w14:textId="6402F270" w:rsidR="002A259D" w:rsidRPr="00CE59DA" w:rsidRDefault="00F10620"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三等奖</w:t>
            </w:r>
          </w:p>
        </w:tc>
      </w:tr>
    </w:tbl>
    <w:p w14:paraId="0FBD1AD9" w14:textId="77777777" w:rsidR="002A259D" w:rsidRPr="00CE59DA" w:rsidRDefault="002A259D" w:rsidP="002A259D">
      <w:pPr>
        <w:widowControl/>
        <w:jc w:val="left"/>
        <w:rPr>
          <w:rFonts w:ascii="Times New Roman" w:eastAsia="方正仿宋_GBK" w:hAnsi="Times New Roman"/>
          <w:sz w:val="24"/>
          <w:szCs w:val="32"/>
        </w:rPr>
      </w:pPr>
    </w:p>
    <w:p w14:paraId="64BBB864" w14:textId="77777777"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14:paraId="109DD210" w14:textId="5FBE4A7A" w:rsidR="00454EC8" w:rsidRPr="00E71412" w:rsidRDefault="00514094" w:rsidP="0071033D">
      <w:pPr>
        <w:widowControl/>
        <w:spacing w:line="360" w:lineRule="auto"/>
        <w:ind w:firstLineChars="200" w:firstLine="480"/>
        <w:rPr>
          <w:rFonts w:asciiTheme="majorEastAsia" w:eastAsia="PMingLiU" w:hAnsiTheme="majorEastAsia" w:cs="宋体" w:hint="eastAsia"/>
          <w:sz w:val="24"/>
          <w:szCs w:val="24"/>
          <w:u w:color="000000"/>
          <w:bdr w:val="nil"/>
          <w:lang w:val="zh-TW" w:eastAsia="zh-TW"/>
        </w:rPr>
      </w:pPr>
      <w:r>
        <w:rPr>
          <w:rFonts w:asciiTheme="majorEastAsia" w:eastAsiaTheme="majorEastAsia" w:hAnsiTheme="majorEastAsia" w:cs="宋体" w:hint="eastAsia"/>
          <w:sz w:val="24"/>
          <w:szCs w:val="24"/>
          <w:u w:color="000000"/>
          <w:bdr w:val="nil"/>
          <w:lang w:val="zh-TW"/>
        </w:rPr>
        <w:t>本项目重点关注植物体内各种细胞器的膜蛋白在植物体内运输有机物或养分的分子生物学机制。在2</w:t>
      </w:r>
      <w:r>
        <w:rPr>
          <w:rFonts w:asciiTheme="majorEastAsia" w:eastAsia="PMingLiU" w:hAnsiTheme="majorEastAsia" w:cs="宋体"/>
          <w:sz w:val="24"/>
          <w:szCs w:val="24"/>
          <w:u w:color="000000"/>
          <w:bdr w:val="nil"/>
          <w:lang w:val="zh-TW" w:eastAsia="zh-TW"/>
        </w:rPr>
        <w:t>016</w:t>
      </w:r>
      <w:r>
        <w:rPr>
          <w:rFonts w:asciiTheme="minorEastAsia" w:hAnsiTheme="minorEastAsia" w:cs="宋体" w:hint="eastAsia"/>
          <w:sz w:val="24"/>
          <w:szCs w:val="24"/>
          <w:u w:color="000000"/>
          <w:bdr w:val="nil"/>
          <w:lang w:val="zh-TW" w:eastAsia="zh-TW"/>
        </w:rPr>
        <w:t>-</w:t>
      </w:r>
      <w:r>
        <w:rPr>
          <w:rFonts w:asciiTheme="majorEastAsia" w:eastAsia="PMingLiU" w:hAnsiTheme="majorEastAsia" w:cs="宋体"/>
          <w:sz w:val="24"/>
          <w:szCs w:val="24"/>
          <w:u w:color="000000"/>
          <w:bdr w:val="nil"/>
          <w:lang w:val="zh-TW" w:eastAsia="zh-TW"/>
        </w:rPr>
        <w:t>2019</w:t>
      </w:r>
      <w:r>
        <w:rPr>
          <w:rFonts w:asciiTheme="minorEastAsia" w:hAnsiTheme="minorEastAsia" w:cs="宋体" w:hint="eastAsia"/>
          <w:sz w:val="24"/>
          <w:szCs w:val="24"/>
          <w:u w:color="000000"/>
          <w:bdr w:val="nil"/>
          <w:lang w:val="zh-TW" w:eastAsia="zh-TW"/>
        </w:rPr>
        <w:t>年期间，完成人分别发现了叶绿体内膜蛋白</w:t>
      </w:r>
      <w:r>
        <w:rPr>
          <w:rFonts w:asciiTheme="minorEastAsia" w:hAnsiTheme="minorEastAsia" w:cs="宋体" w:hint="eastAsia"/>
          <w:sz w:val="24"/>
          <w:szCs w:val="24"/>
          <w:u w:color="000000"/>
          <w:bdr w:val="nil"/>
          <w:lang w:val="zh-TW"/>
        </w:rPr>
        <w:t>F</w:t>
      </w:r>
      <w:r>
        <w:rPr>
          <w:rFonts w:asciiTheme="minorEastAsia" w:eastAsia="PMingLiU" w:hAnsiTheme="minorEastAsia" w:cs="宋体"/>
          <w:sz w:val="24"/>
          <w:szCs w:val="24"/>
          <w:u w:color="000000"/>
          <w:bdr w:val="nil"/>
          <w:lang w:val="zh-TW" w:eastAsia="zh-TW"/>
        </w:rPr>
        <w:t>AX1</w:t>
      </w:r>
      <w:r>
        <w:rPr>
          <w:rFonts w:asciiTheme="minorEastAsia" w:hAnsiTheme="minorEastAsia" w:cs="宋体" w:hint="eastAsia"/>
          <w:sz w:val="24"/>
          <w:szCs w:val="24"/>
          <w:u w:color="000000"/>
          <w:bdr w:val="nil"/>
          <w:lang w:val="zh-TW" w:eastAsia="zh-TW"/>
        </w:rPr>
        <w:t>分别在单细胞真核藻类莱茵衣藻、高等模式植物拟南芥和经济作物油菜中在不同脂肪酸跨膜输出过程中的分子机制（</w:t>
      </w:r>
      <w:r>
        <w:rPr>
          <w:rFonts w:asciiTheme="minorEastAsia" w:hAnsiTheme="minorEastAsia" w:cs="宋体" w:hint="eastAsia"/>
          <w:sz w:val="24"/>
          <w:szCs w:val="24"/>
          <w:u w:color="000000"/>
          <w:bdr w:val="nil"/>
          <w:lang w:val="zh-TW"/>
        </w:rPr>
        <w:t>L</w:t>
      </w:r>
      <w:r>
        <w:rPr>
          <w:rFonts w:asciiTheme="minorEastAsia" w:eastAsia="PMingLiU" w:hAnsiTheme="minorEastAsia" w:cs="宋体"/>
          <w:sz w:val="24"/>
          <w:szCs w:val="24"/>
          <w:u w:color="000000"/>
          <w:bdr w:val="nil"/>
          <w:lang w:val="zh-TW" w:eastAsia="zh-TW"/>
        </w:rPr>
        <w:t>i et al., 2015; Li et al., 2016; Li et al., 2019</w:t>
      </w:r>
      <w:r>
        <w:rPr>
          <w:rFonts w:asciiTheme="minorEastAsia" w:hAnsiTheme="minorEastAsia" w:cs="宋体" w:hint="eastAsia"/>
          <w:sz w:val="24"/>
          <w:szCs w:val="24"/>
          <w:u w:color="000000"/>
          <w:bdr w:val="nil"/>
          <w:lang w:val="zh-TW" w:eastAsia="zh-TW"/>
        </w:rPr>
        <w:t>）。相关工作受到国际油脂研究领域专家的认可，两项成果被</w:t>
      </w:r>
      <w:r>
        <w:rPr>
          <w:rFonts w:asciiTheme="minorEastAsia" w:hAnsiTheme="minorEastAsia" w:cs="宋体" w:hint="eastAsia"/>
          <w:sz w:val="24"/>
          <w:szCs w:val="24"/>
          <w:u w:color="000000"/>
          <w:bdr w:val="nil"/>
          <w:lang w:val="zh-TW"/>
        </w:rPr>
        <w:t>F</w:t>
      </w:r>
      <w:r>
        <w:rPr>
          <w:rFonts w:asciiTheme="minorEastAsia" w:eastAsia="PMingLiU" w:hAnsiTheme="minorEastAsia" w:cs="宋体"/>
          <w:sz w:val="24"/>
          <w:szCs w:val="24"/>
          <w:u w:color="000000"/>
          <w:bdr w:val="nil"/>
          <w:lang w:val="zh-TW" w:eastAsia="zh-TW"/>
        </w:rPr>
        <w:t>aculty of 1000</w:t>
      </w:r>
      <w:r>
        <w:rPr>
          <w:rFonts w:asciiTheme="minorEastAsia" w:hAnsiTheme="minorEastAsia" w:cs="宋体" w:hint="eastAsia"/>
          <w:sz w:val="24"/>
          <w:szCs w:val="24"/>
          <w:u w:color="000000"/>
          <w:bdr w:val="nil"/>
          <w:lang w:val="zh-TW" w:eastAsia="zh-TW"/>
        </w:rPr>
        <w:t>收录。同时，完成人及团队成员也重点关注了膜蛋白</w:t>
      </w:r>
      <w:r>
        <w:rPr>
          <w:rFonts w:asciiTheme="minorEastAsia" w:hAnsiTheme="minorEastAsia" w:cs="宋体" w:hint="eastAsia"/>
          <w:sz w:val="24"/>
          <w:szCs w:val="24"/>
          <w:u w:color="000000"/>
          <w:bdr w:val="nil"/>
          <w:lang w:val="zh-TW"/>
        </w:rPr>
        <w:t>H</w:t>
      </w:r>
      <w:r>
        <w:rPr>
          <w:rFonts w:asciiTheme="minorEastAsia" w:eastAsia="PMingLiU" w:hAnsiTheme="minorEastAsia" w:cs="宋体"/>
          <w:sz w:val="24"/>
          <w:szCs w:val="24"/>
          <w:u w:color="000000"/>
          <w:bdr w:val="nil"/>
          <w:lang w:val="zh-TW" w:eastAsia="zh-TW"/>
        </w:rPr>
        <w:t>MA</w:t>
      </w:r>
      <w:r>
        <w:rPr>
          <w:rFonts w:asciiTheme="minorEastAsia" w:hAnsiTheme="minorEastAsia" w:cs="宋体" w:hint="eastAsia"/>
          <w:sz w:val="24"/>
          <w:szCs w:val="24"/>
          <w:u w:color="000000"/>
          <w:bdr w:val="nil"/>
          <w:lang w:val="zh-TW" w:eastAsia="zh-TW"/>
        </w:rPr>
        <w:t>在跨膜运输</w:t>
      </w:r>
      <w:r w:rsidR="00E71412">
        <w:rPr>
          <w:rFonts w:asciiTheme="minorEastAsia" w:hAnsiTheme="minorEastAsia" w:cs="宋体" w:hint="eastAsia"/>
          <w:sz w:val="24"/>
          <w:szCs w:val="24"/>
          <w:u w:color="000000"/>
          <w:bdr w:val="nil"/>
          <w:lang w:val="zh-TW" w:eastAsia="zh-TW"/>
        </w:rPr>
        <w:t>重金属镉（</w:t>
      </w:r>
      <w:r w:rsidR="00E71412">
        <w:rPr>
          <w:rFonts w:asciiTheme="minorEastAsia" w:hAnsiTheme="minorEastAsia" w:cs="宋体" w:hint="eastAsia"/>
          <w:sz w:val="24"/>
          <w:szCs w:val="24"/>
          <w:u w:color="000000"/>
          <w:bdr w:val="nil"/>
          <w:lang w:val="zh-TW"/>
        </w:rPr>
        <w:t>C</w:t>
      </w:r>
      <w:r w:rsidR="00E71412">
        <w:rPr>
          <w:rFonts w:asciiTheme="minorEastAsia" w:eastAsia="PMingLiU" w:hAnsiTheme="minorEastAsia" w:cs="宋体"/>
          <w:sz w:val="24"/>
          <w:szCs w:val="24"/>
          <w:u w:color="000000"/>
          <w:bdr w:val="nil"/>
          <w:lang w:val="zh-TW" w:eastAsia="zh-TW"/>
        </w:rPr>
        <w:t>d</w:t>
      </w:r>
      <w:r w:rsidR="00E71412">
        <w:rPr>
          <w:rFonts w:asciiTheme="minorEastAsia" w:hAnsiTheme="minorEastAsia" w:cs="宋体" w:hint="eastAsia"/>
          <w:sz w:val="24"/>
          <w:szCs w:val="24"/>
          <w:u w:color="000000"/>
          <w:bdr w:val="nil"/>
          <w:lang w:val="zh-TW" w:eastAsia="zh-TW"/>
        </w:rPr>
        <w:t>）、膜蛋白</w:t>
      </w:r>
      <w:r w:rsidR="00E71412">
        <w:rPr>
          <w:rFonts w:asciiTheme="minorEastAsia" w:hAnsiTheme="minorEastAsia" w:cs="宋体" w:hint="eastAsia"/>
          <w:sz w:val="24"/>
          <w:szCs w:val="24"/>
          <w:u w:color="000000"/>
          <w:bdr w:val="nil"/>
          <w:lang w:val="zh-TW"/>
        </w:rPr>
        <w:t>M</w:t>
      </w:r>
      <w:r w:rsidR="00E71412">
        <w:rPr>
          <w:rFonts w:asciiTheme="minorEastAsia" w:eastAsia="PMingLiU" w:hAnsiTheme="minorEastAsia" w:cs="宋体"/>
          <w:sz w:val="24"/>
          <w:szCs w:val="24"/>
          <w:u w:color="000000"/>
          <w:bdr w:val="nil"/>
          <w:lang w:val="zh-TW" w:eastAsia="zh-TW"/>
        </w:rPr>
        <w:t>ATE</w:t>
      </w:r>
      <w:r w:rsidR="00E71412">
        <w:rPr>
          <w:rFonts w:asciiTheme="minorEastAsia" w:hAnsiTheme="minorEastAsia" w:cs="宋体" w:hint="eastAsia"/>
          <w:sz w:val="24"/>
          <w:szCs w:val="24"/>
          <w:u w:color="000000"/>
          <w:bdr w:val="nil"/>
          <w:lang w:val="zh-TW" w:eastAsia="zh-TW"/>
        </w:rPr>
        <w:t>在跨膜运输柠檬酸从而帮助植物根系缓解酸性土壤中的铝毒害方面的分子机制，这对于植物抵御土壤污染胁迫具有重要意义。</w:t>
      </w:r>
    </w:p>
    <w:p w14:paraId="20A51245" w14:textId="7C0C5A2E" w:rsidR="00F10620" w:rsidRDefault="00F10620" w:rsidP="0083462C">
      <w:pPr>
        <w:widowControl/>
        <w:spacing w:line="360" w:lineRule="auto"/>
        <w:rPr>
          <w:rFonts w:asciiTheme="majorEastAsia" w:eastAsiaTheme="majorEastAsia" w:hAnsiTheme="majorEastAsia" w:cs="宋体"/>
          <w:sz w:val="24"/>
          <w:szCs w:val="24"/>
          <w:u w:color="000000"/>
          <w:bdr w:val="nil"/>
          <w:lang w:val="zh-TW"/>
        </w:rPr>
      </w:pPr>
    </w:p>
    <w:p w14:paraId="00ECA3A8" w14:textId="114F0AC6" w:rsidR="0083462C" w:rsidRDefault="0083462C" w:rsidP="0083462C">
      <w:pPr>
        <w:widowControl/>
        <w:spacing w:line="360" w:lineRule="auto"/>
        <w:rPr>
          <w:rFonts w:asciiTheme="majorEastAsia" w:eastAsiaTheme="majorEastAsia" w:hAnsiTheme="majorEastAsia" w:cs="宋体"/>
          <w:sz w:val="24"/>
          <w:szCs w:val="24"/>
          <w:u w:color="000000"/>
          <w:bdr w:val="nil"/>
          <w:lang w:val="zh-TW"/>
        </w:rPr>
      </w:pPr>
    </w:p>
    <w:p w14:paraId="205CFDE3" w14:textId="2A84B609" w:rsidR="0083462C" w:rsidRDefault="0083462C" w:rsidP="0083462C">
      <w:pPr>
        <w:widowControl/>
        <w:spacing w:line="360" w:lineRule="auto"/>
        <w:rPr>
          <w:rFonts w:asciiTheme="majorEastAsia" w:eastAsiaTheme="majorEastAsia" w:hAnsiTheme="majorEastAsia" w:cs="宋体"/>
          <w:sz w:val="24"/>
          <w:szCs w:val="24"/>
          <w:u w:color="000000"/>
          <w:bdr w:val="nil"/>
          <w:lang w:val="zh-TW"/>
        </w:rPr>
      </w:pPr>
    </w:p>
    <w:p w14:paraId="40483AD1" w14:textId="2E054752" w:rsidR="0083462C" w:rsidRDefault="0083462C" w:rsidP="0083462C">
      <w:pPr>
        <w:widowControl/>
        <w:spacing w:line="360" w:lineRule="auto"/>
        <w:rPr>
          <w:rFonts w:asciiTheme="majorEastAsia" w:eastAsiaTheme="majorEastAsia" w:hAnsiTheme="majorEastAsia" w:cs="宋体"/>
          <w:sz w:val="24"/>
          <w:szCs w:val="24"/>
          <w:u w:color="000000"/>
          <w:bdr w:val="nil"/>
          <w:lang w:val="zh-TW"/>
        </w:rPr>
      </w:pPr>
    </w:p>
    <w:p w14:paraId="1B8DD96D" w14:textId="2BDAECC3" w:rsidR="0083462C" w:rsidRDefault="0083462C" w:rsidP="0083462C">
      <w:pPr>
        <w:widowControl/>
        <w:spacing w:line="360" w:lineRule="auto"/>
        <w:rPr>
          <w:rFonts w:asciiTheme="majorEastAsia" w:eastAsiaTheme="majorEastAsia" w:hAnsiTheme="majorEastAsia" w:cs="宋体"/>
          <w:sz w:val="24"/>
          <w:szCs w:val="24"/>
          <w:u w:color="000000"/>
          <w:bdr w:val="nil"/>
          <w:lang w:val="zh-TW"/>
        </w:rPr>
      </w:pPr>
    </w:p>
    <w:p w14:paraId="08B9B73B" w14:textId="57B7035C" w:rsidR="0083462C" w:rsidRDefault="0083462C" w:rsidP="0083462C">
      <w:pPr>
        <w:widowControl/>
        <w:spacing w:line="360" w:lineRule="auto"/>
        <w:rPr>
          <w:rFonts w:asciiTheme="majorEastAsia" w:eastAsiaTheme="majorEastAsia" w:hAnsiTheme="majorEastAsia" w:cs="宋体"/>
          <w:sz w:val="24"/>
          <w:szCs w:val="24"/>
          <w:u w:color="000000"/>
          <w:bdr w:val="nil"/>
          <w:lang w:val="zh-TW"/>
        </w:rPr>
      </w:pPr>
    </w:p>
    <w:p w14:paraId="2308D1B7" w14:textId="77777777" w:rsidR="0083462C" w:rsidRDefault="0083462C" w:rsidP="0083462C">
      <w:pPr>
        <w:widowControl/>
        <w:spacing w:line="360" w:lineRule="auto"/>
        <w:rPr>
          <w:rFonts w:asciiTheme="majorEastAsia" w:eastAsiaTheme="majorEastAsia" w:hAnsiTheme="majorEastAsia" w:cs="宋体" w:hint="eastAsia"/>
          <w:sz w:val="24"/>
          <w:szCs w:val="24"/>
          <w:u w:color="000000"/>
          <w:bdr w:val="nil"/>
          <w:lang w:val="zh-TW"/>
        </w:rPr>
      </w:pPr>
    </w:p>
    <w:p w14:paraId="13240E63" w14:textId="6948AD73" w:rsidR="00F10620" w:rsidRDefault="00F10620" w:rsidP="0071033D">
      <w:pPr>
        <w:widowControl/>
        <w:spacing w:line="360" w:lineRule="auto"/>
        <w:ind w:firstLineChars="200" w:firstLine="480"/>
        <w:rPr>
          <w:rFonts w:asciiTheme="majorEastAsia" w:eastAsiaTheme="majorEastAsia" w:hAnsiTheme="majorEastAsia" w:cs="宋体"/>
          <w:sz w:val="24"/>
          <w:szCs w:val="24"/>
          <w:u w:color="000000"/>
          <w:bdr w:val="nil"/>
          <w:lang w:val="zh-TW"/>
        </w:rPr>
      </w:pPr>
    </w:p>
    <w:p w14:paraId="24330B8A" w14:textId="77777777" w:rsidR="00F10620" w:rsidRDefault="00F10620" w:rsidP="0071033D">
      <w:pPr>
        <w:widowControl/>
        <w:spacing w:line="360" w:lineRule="auto"/>
        <w:ind w:firstLineChars="200" w:firstLine="480"/>
        <w:rPr>
          <w:rFonts w:asciiTheme="majorEastAsia" w:eastAsiaTheme="majorEastAsia" w:hAnsiTheme="majorEastAsia" w:cs="宋体" w:hint="eastAsia"/>
          <w:sz w:val="24"/>
          <w:szCs w:val="24"/>
          <w:u w:color="000000"/>
          <w:bdr w:val="nil"/>
          <w:lang w:val="zh-TW"/>
        </w:rPr>
      </w:pPr>
    </w:p>
    <w:p w14:paraId="5045579A" w14:textId="0F3E8857" w:rsidR="00F10620" w:rsidRDefault="00F10620" w:rsidP="0071033D">
      <w:pPr>
        <w:widowControl/>
        <w:spacing w:line="360" w:lineRule="auto"/>
        <w:ind w:firstLineChars="200" w:firstLine="480"/>
        <w:rPr>
          <w:rFonts w:asciiTheme="majorEastAsia" w:eastAsiaTheme="majorEastAsia" w:hAnsiTheme="majorEastAsia" w:cs="宋体"/>
          <w:sz w:val="24"/>
          <w:szCs w:val="24"/>
          <w:u w:color="000000"/>
          <w:bdr w:val="nil"/>
          <w:lang w:val="zh-TW"/>
        </w:rPr>
      </w:pPr>
    </w:p>
    <w:p w14:paraId="6D011977" w14:textId="77777777" w:rsidR="00F10620" w:rsidRDefault="00F10620" w:rsidP="0071033D">
      <w:pPr>
        <w:widowControl/>
        <w:spacing w:line="360" w:lineRule="auto"/>
        <w:ind w:firstLineChars="200" w:firstLine="480"/>
        <w:rPr>
          <w:rFonts w:asciiTheme="majorEastAsia" w:eastAsiaTheme="majorEastAsia" w:hAnsiTheme="majorEastAsia" w:cs="宋体" w:hint="eastAsia"/>
          <w:sz w:val="24"/>
          <w:szCs w:val="24"/>
          <w:u w:color="000000"/>
          <w:bdr w:val="nil"/>
          <w:lang w:val="zh-TW"/>
        </w:rPr>
      </w:pPr>
    </w:p>
    <w:p w14:paraId="11905B59" w14:textId="77777777"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2525"/>
        <w:gridCol w:w="1169"/>
        <w:gridCol w:w="2374"/>
        <w:gridCol w:w="1682"/>
        <w:gridCol w:w="1119"/>
        <w:gridCol w:w="1174"/>
        <w:gridCol w:w="1269"/>
        <w:gridCol w:w="1080"/>
        <w:gridCol w:w="1007"/>
      </w:tblGrid>
      <w:tr w:rsidR="0083462C" w14:paraId="5D6CA0AE" w14:textId="77777777" w:rsidTr="00B77A52">
        <w:trPr>
          <w:trHeight w:val="877"/>
        </w:trPr>
        <w:tc>
          <w:tcPr>
            <w:tcW w:w="197" w:type="pct"/>
            <w:vAlign w:val="center"/>
          </w:tcPr>
          <w:p w14:paraId="6A0D2D43" w14:textId="77777777" w:rsidR="00704237" w:rsidRDefault="00704237" w:rsidP="004845CD">
            <w:pPr>
              <w:jc w:val="center"/>
              <w:rPr>
                <w:rFonts w:ascii="宋体" w:hAnsi="宋体"/>
                <w:sz w:val="24"/>
                <w:szCs w:val="24"/>
              </w:rPr>
            </w:pPr>
            <w:r>
              <w:rPr>
                <w:rFonts w:ascii="宋体" w:hAnsi="宋体"/>
                <w:sz w:val="24"/>
                <w:szCs w:val="24"/>
              </w:rPr>
              <w:t>序号</w:t>
            </w:r>
          </w:p>
        </w:tc>
        <w:tc>
          <w:tcPr>
            <w:tcW w:w="905" w:type="pct"/>
            <w:vAlign w:val="center"/>
          </w:tcPr>
          <w:p w14:paraId="168E4B91"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419" w:type="pct"/>
            <w:vAlign w:val="center"/>
          </w:tcPr>
          <w:p w14:paraId="6BF5C68D"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影响</w:t>
            </w:r>
          </w:p>
          <w:p w14:paraId="4ECEF6FF"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851" w:type="pct"/>
            <w:vAlign w:val="center"/>
          </w:tcPr>
          <w:p w14:paraId="74E68480"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年卷页码</w:t>
            </w:r>
          </w:p>
          <w:p w14:paraId="4A7629F8"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14:paraId="3234F88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603" w:type="pct"/>
            <w:vAlign w:val="center"/>
          </w:tcPr>
          <w:p w14:paraId="352ECF99"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14:paraId="5FDEECC8"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401" w:type="pct"/>
            <w:vAlign w:val="center"/>
          </w:tcPr>
          <w:p w14:paraId="062EAA73"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421" w:type="pct"/>
            <w:vAlign w:val="center"/>
          </w:tcPr>
          <w:p w14:paraId="474D9F92"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455" w:type="pct"/>
            <w:vAlign w:val="center"/>
          </w:tcPr>
          <w:p w14:paraId="07EF7ACF"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387" w:type="pct"/>
            <w:vAlign w:val="center"/>
          </w:tcPr>
          <w:p w14:paraId="094717B7"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361" w:type="pct"/>
            <w:vAlign w:val="center"/>
          </w:tcPr>
          <w:p w14:paraId="07658A0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
        </w:tc>
      </w:tr>
      <w:tr w:rsidR="0083462C" w:rsidRPr="00514094" w14:paraId="19A0906B" w14:textId="77777777" w:rsidTr="0083462C">
        <w:trPr>
          <w:trHeight w:hRule="exact" w:val="1982"/>
        </w:trPr>
        <w:tc>
          <w:tcPr>
            <w:tcW w:w="197" w:type="pct"/>
            <w:vAlign w:val="center"/>
          </w:tcPr>
          <w:p w14:paraId="2B5D1C43" w14:textId="77777777" w:rsidR="00704237" w:rsidRPr="00514094" w:rsidRDefault="00704237" w:rsidP="000A35BB">
            <w:pPr>
              <w:jc w:val="center"/>
              <w:rPr>
                <w:rFonts w:ascii="Times New Roman" w:hAnsi="Times New Roman" w:cs="Times New Roman"/>
                <w:sz w:val="20"/>
                <w:szCs w:val="20"/>
              </w:rPr>
            </w:pPr>
            <w:r w:rsidRPr="00514094">
              <w:rPr>
                <w:rFonts w:ascii="Times New Roman" w:hAnsi="Times New Roman" w:cs="Times New Roman"/>
                <w:sz w:val="20"/>
                <w:szCs w:val="20"/>
              </w:rPr>
              <w:t>1</w:t>
            </w:r>
          </w:p>
        </w:tc>
        <w:tc>
          <w:tcPr>
            <w:tcW w:w="905" w:type="pct"/>
            <w:vAlign w:val="center"/>
          </w:tcPr>
          <w:p w14:paraId="2E120325" w14:textId="75D50BD3"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Fatty Acid and Lipid Transport in Plant Cells/Trends in Plant Science/N Li, C Xu, Y Li-Beisson, K Philippar</w:t>
            </w:r>
          </w:p>
        </w:tc>
        <w:tc>
          <w:tcPr>
            <w:tcW w:w="419" w:type="pct"/>
            <w:vAlign w:val="center"/>
          </w:tcPr>
          <w:p w14:paraId="040F5CE4" w14:textId="2AD0DA1E"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14.1</w:t>
            </w:r>
          </w:p>
        </w:tc>
        <w:tc>
          <w:tcPr>
            <w:tcW w:w="851" w:type="pct"/>
            <w:vAlign w:val="center"/>
          </w:tcPr>
          <w:p w14:paraId="5C6B3E04" w14:textId="30080B75"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2016,21(2):145-158</w:t>
            </w:r>
          </w:p>
        </w:tc>
        <w:tc>
          <w:tcPr>
            <w:tcW w:w="603" w:type="pct"/>
            <w:vAlign w:val="center"/>
          </w:tcPr>
          <w:p w14:paraId="1936F938" w14:textId="2E53323A"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2016</w:t>
            </w:r>
            <w:r w:rsidRPr="00514094">
              <w:rPr>
                <w:rFonts w:ascii="Times New Roman" w:hAnsi="Times New Roman" w:cs="Times New Roman"/>
                <w:sz w:val="20"/>
                <w:szCs w:val="20"/>
              </w:rPr>
              <w:t>年，</w:t>
            </w:r>
            <w:r w:rsidRPr="00514094">
              <w:rPr>
                <w:rFonts w:ascii="Times New Roman" w:hAnsi="Times New Roman" w:cs="Times New Roman"/>
                <w:sz w:val="20"/>
                <w:szCs w:val="20"/>
              </w:rPr>
              <w:t>2</w:t>
            </w:r>
            <w:r w:rsidRPr="00514094">
              <w:rPr>
                <w:rFonts w:ascii="Times New Roman" w:hAnsi="Times New Roman" w:cs="Times New Roman"/>
                <w:sz w:val="20"/>
                <w:szCs w:val="20"/>
              </w:rPr>
              <w:t>月</w:t>
            </w:r>
          </w:p>
        </w:tc>
        <w:tc>
          <w:tcPr>
            <w:tcW w:w="401" w:type="pct"/>
            <w:vAlign w:val="center"/>
          </w:tcPr>
          <w:p w14:paraId="6D03A40B" w14:textId="48BAA300"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是</w:t>
            </w:r>
          </w:p>
        </w:tc>
        <w:tc>
          <w:tcPr>
            <w:tcW w:w="421" w:type="pct"/>
            <w:vAlign w:val="center"/>
          </w:tcPr>
          <w:p w14:paraId="3FB93DDF" w14:textId="3216C457" w:rsidR="00704237" w:rsidRPr="00514094" w:rsidRDefault="000A35BB" w:rsidP="000A35BB">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K. Philippar</w:t>
            </w:r>
          </w:p>
        </w:tc>
        <w:tc>
          <w:tcPr>
            <w:tcW w:w="455" w:type="pct"/>
            <w:vAlign w:val="center"/>
          </w:tcPr>
          <w:p w14:paraId="408761DD" w14:textId="2E771D24" w:rsidR="00704237" w:rsidRPr="00514094" w:rsidRDefault="000A35BB" w:rsidP="000A35BB">
            <w:pPr>
              <w:jc w:val="center"/>
              <w:rPr>
                <w:rFonts w:ascii="Times New Roman" w:eastAsia="宋体" w:hAnsi="Times New Roman" w:cs="Times New Roman"/>
                <w:color w:val="000000"/>
                <w:kern w:val="0"/>
                <w:sz w:val="20"/>
                <w:szCs w:val="20"/>
                <w:u w:color="0D0D0D"/>
                <w:bdr w:val="nil"/>
                <w:lang w:eastAsia="en-US"/>
              </w:rPr>
            </w:pPr>
            <w:r w:rsidRPr="00514094">
              <w:rPr>
                <w:rFonts w:ascii="Times New Roman" w:eastAsia="宋体" w:hAnsi="Times New Roman" w:cs="Times New Roman"/>
                <w:color w:val="000000"/>
                <w:kern w:val="0"/>
                <w:sz w:val="20"/>
                <w:szCs w:val="20"/>
                <w:u w:color="0D0D0D"/>
                <w:bdr w:val="nil"/>
              </w:rPr>
              <w:t>李楠楠</w:t>
            </w:r>
          </w:p>
        </w:tc>
        <w:tc>
          <w:tcPr>
            <w:tcW w:w="387" w:type="pct"/>
            <w:vAlign w:val="center"/>
          </w:tcPr>
          <w:p w14:paraId="24C22A90" w14:textId="36AC3E82"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101</w:t>
            </w:r>
          </w:p>
        </w:tc>
        <w:tc>
          <w:tcPr>
            <w:tcW w:w="361" w:type="pct"/>
            <w:vAlign w:val="center"/>
          </w:tcPr>
          <w:p w14:paraId="47E79088" w14:textId="1830ED10" w:rsidR="00704237" w:rsidRPr="00514094" w:rsidRDefault="000A35BB" w:rsidP="000A35BB">
            <w:pPr>
              <w:jc w:val="center"/>
              <w:rPr>
                <w:rFonts w:ascii="Times New Roman" w:hAnsi="Times New Roman" w:cs="Times New Roman"/>
                <w:sz w:val="20"/>
                <w:szCs w:val="20"/>
              </w:rPr>
            </w:pPr>
            <w:r w:rsidRPr="00514094">
              <w:rPr>
                <w:rFonts w:ascii="Times New Roman" w:hAnsi="Times New Roman" w:cs="Times New Roman"/>
                <w:sz w:val="20"/>
                <w:szCs w:val="20"/>
              </w:rPr>
              <w:t>10</w:t>
            </w:r>
            <w:r w:rsidR="0061673E" w:rsidRPr="00514094">
              <w:rPr>
                <w:rFonts w:ascii="Times New Roman" w:hAnsi="Times New Roman" w:cs="Times New Roman"/>
                <w:sz w:val="20"/>
                <w:szCs w:val="20"/>
              </w:rPr>
              <w:t>1</w:t>
            </w:r>
          </w:p>
        </w:tc>
      </w:tr>
      <w:tr w:rsidR="0083462C" w:rsidRPr="00514094" w14:paraId="08D6DB5A" w14:textId="77777777" w:rsidTr="0061673E">
        <w:trPr>
          <w:trHeight w:hRule="exact" w:val="3130"/>
        </w:trPr>
        <w:tc>
          <w:tcPr>
            <w:tcW w:w="197" w:type="pct"/>
            <w:vAlign w:val="center"/>
          </w:tcPr>
          <w:p w14:paraId="3FD118A3" w14:textId="77777777" w:rsidR="00180DCB" w:rsidRPr="00514094" w:rsidRDefault="00180DCB"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w:t>
            </w:r>
          </w:p>
        </w:tc>
        <w:tc>
          <w:tcPr>
            <w:tcW w:w="905" w:type="pct"/>
            <w:vAlign w:val="center"/>
          </w:tcPr>
          <w:p w14:paraId="2A4E70D1" w14:textId="532F3700" w:rsidR="0061673E" w:rsidRPr="00514094" w:rsidRDefault="0061673E" w:rsidP="0061673E">
            <w:pPr>
              <w:pStyle w:val="1"/>
              <w:shd w:val="clear" w:color="auto" w:fill="FFFFFF"/>
              <w:spacing w:before="0" w:beforeAutospacing="0" w:after="240" w:afterAutospacing="0"/>
              <w:jc w:val="both"/>
              <w:rPr>
                <w:rFonts w:ascii="Times New Roman" w:eastAsiaTheme="minorEastAsia" w:hAnsi="Times New Roman" w:cs="Times New Roman"/>
                <w:b w:val="0"/>
                <w:bCs w:val="0"/>
                <w:kern w:val="2"/>
                <w:sz w:val="20"/>
                <w:szCs w:val="20"/>
              </w:rPr>
            </w:pPr>
            <w:r w:rsidRPr="00514094">
              <w:rPr>
                <w:rFonts w:ascii="Times New Roman" w:eastAsiaTheme="minorEastAsia" w:hAnsi="Times New Roman" w:cs="Times New Roman"/>
                <w:b w:val="0"/>
                <w:bCs w:val="0"/>
                <w:kern w:val="2"/>
                <w:sz w:val="20"/>
                <w:szCs w:val="20"/>
              </w:rPr>
              <w:t>Identification of candidate genes controlling oil content by combination of genome-wide association and transcriptome analysis in the oilseed crop Brassica napus</w:t>
            </w:r>
            <w:r w:rsidRPr="00514094">
              <w:rPr>
                <w:rFonts w:ascii="Times New Roman" w:eastAsiaTheme="minorEastAsia" w:hAnsi="Times New Roman" w:cs="Times New Roman"/>
                <w:b w:val="0"/>
                <w:bCs w:val="0"/>
                <w:kern w:val="2"/>
                <w:sz w:val="20"/>
                <w:szCs w:val="20"/>
              </w:rPr>
              <w:t>/Biotechnology for biofuels/Z Xiao, C Zhang, ….J Li and N Li</w:t>
            </w:r>
          </w:p>
          <w:p w14:paraId="53AAEECB" w14:textId="77777777" w:rsidR="00180DCB" w:rsidRPr="00514094" w:rsidRDefault="00180DCB" w:rsidP="00180DCB">
            <w:pPr>
              <w:jc w:val="center"/>
              <w:rPr>
                <w:rFonts w:ascii="Times New Roman" w:hAnsi="Times New Roman" w:cs="Times New Roman"/>
                <w:sz w:val="20"/>
                <w:szCs w:val="20"/>
              </w:rPr>
            </w:pPr>
          </w:p>
        </w:tc>
        <w:tc>
          <w:tcPr>
            <w:tcW w:w="419" w:type="pct"/>
            <w:vAlign w:val="center"/>
          </w:tcPr>
          <w:p w14:paraId="5F97C9D2" w14:textId="2D3782DA" w:rsidR="00180DCB"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6.0</w:t>
            </w:r>
          </w:p>
        </w:tc>
        <w:tc>
          <w:tcPr>
            <w:tcW w:w="851" w:type="pct"/>
            <w:vAlign w:val="center"/>
          </w:tcPr>
          <w:p w14:paraId="5D266297" w14:textId="681A9AAD" w:rsidR="00180DCB"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2019, 12(6)</w:t>
            </w:r>
          </w:p>
        </w:tc>
        <w:tc>
          <w:tcPr>
            <w:tcW w:w="603" w:type="pct"/>
            <w:vAlign w:val="center"/>
          </w:tcPr>
          <w:p w14:paraId="24A12AE0" w14:textId="22B0C74C" w:rsidR="00180DCB" w:rsidRPr="00514094" w:rsidRDefault="0061673E" w:rsidP="00B17AB6">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2019</w:t>
            </w:r>
            <w:r w:rsidRPr="00514094">
              <w:rPr>
                <w:rFonts w:ascii="Times New Roman" w:hAnsi="Times New Roman" w:cs="Times New Roman"/>
                <w:sz w:val="20"/>
                <w:szCs w:val="20"/>
              </w:rPr>
              <w:t>年</w:t>
            </w:r>
            <w:r w:rsidRPr="00514094">
              <w:rPr>
                <w:rFonts w:ascii="Times New Roman" w:hAnsi="Times New Roman" w:cs="Times New Roman"/>
                <w:sz w:val="20"/>
                <w:szCs w:val="20"/>
              </w:rPr>
              <w:t>9</w:t>
            </w:r>
            <w:r w:rsidRPr="00514094">
              <w:rPr>
                <w:rFonts w:ascii="Times New Roman" w:hAnsi="Times New Roman" w:cs="Times New Roman"/>
                <w:sz w:val="20"/>
                <w:szCs w:val="20"/>
              </w:rPr>
              <w:t>月</w:t>
            </w:r>
            <w:r w:rsidRPr="00514094">
              <w:rPr>
                <w:rFonts w:ascii="Times New Roman" w:hAnsi="Times New Roman" w:cs="Times New Roman"/>
                <w:sz w:val="20"/>
                <w:szCs w:val="20"/>
              </w:rPr>
              <w:t>10</w:t>
            </w:r>
            <w:r w:rsidRPr="00514094">
              <w:rPr>
                <w:rFonts w:ascii="Times New Roman" w:hAnsi="Times New Roman" w:cs="Times New Roman"/>
                <w:sz w:val="20"/>
                <w:szCs w:val="20"/>
              </w:rPr>
              <w:t>日</w:t>
            </w:r>
          </w:p>
        </w:tc>
        <w:tc>
          <w:tcPr>
            <w:tcW w:w="401" w:type="pct"/>
            <w:vAlign w:val="center"/>
          </w:tcPr>
          <w:p w14:paraId="55F69C0E" w14:textId="72DA61A2" w:rsidR="00180DCB"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是</w:t>
            </w:r>
          </w:p>
        </w:tc>
        <w:tc>
          <w:tcPr>
            <w:tcW w:w="421" w:type="pct"/>
            <w:vAlign w:val="center"/>
          </w:tcPr>
          <w:p w14:paraId="70CDA644" w14:textId="403ED331" w:rsidR="00180DCB" w:rsidRPr="00514094" w:rsidRDefault="0061673E" w:rsidP="00B17AB6">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J. Li and N. Li</w:t>
            </w:r>
          </w:p>
        </w:tc>
        <w:tc>
          <w:tcPr>
            <w:tcW w:w="455" w:type="pct"/>
            <w:vAlign w:val="center"/>
          </w:tcPr>
          <w:p w14:paraId="1C706F19" w14:textId="2B348E8A" w:rsidR="00180DCB" w:rsidRPr="00514094" w:rsidRDefault="0061673E" w:rsidP="00B17AB6">
            <w:pPr>
              <w:jc w:val="center"/>
              <w:rPr>
                <w:rFonts w:ascii="Times New Roman" w:eastAsia="宋体" w:hAnsi="Times New Roman" w:cs="Times New Roman"/>
                <w:color w:val="000000"/>
                <w:kern w:val="0"/>
                <w:sz w:val="20"/>
                <w:szCs w:val="20"/>
                <w:u w:color="0D0D0D"/>
                <w:bdr w:val="nil"/>
                <w:lang w:eastAsia="en-US"/>
              </w:rPr>
            </w:pPr>
            <w:r w:rsidRPr="00514094">
              <w:rPr>
                <w:rFonts w:ascii="Times New Roman" w:eastAsia="宋体" w:hAnsi="Times New Roman" w:cs="Times New Roman"/>
                <w:color w:val="000000"/>
                <w:kern w:val="0"/>
                <w:sz w:val="20"/>
                <w:szCs w:val="20"/>
                <w:u w:color="0D0D0D"/>
                <w:bdr w:val="nil"/>
              </w:rPr>
              <w:t>肖忠春</w:t>
            </w:r>
          </w:p>
        </w:tc>
        <w:tc>
          <w:tcPr>
            <w:tcW w:w="387" w:type="pct"/>
            <w:vAlign w:val="center"/>
          </w:tcPr>
          <w:p w14:paraId="2062D73E" w14:textId="1A4D003A" w:rsidR="00180DCB"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5</w:t>
            </w:r>
          </w:p>
        </w:tc>
        <w:tc>
          <w:tcPr>
            <w:tcW w:w="361" w:type="pct"/>
            <w:vAlign w:val="center"/>
          </w:tcPr>
          <w:p w14:paraId="0AE8321B" w14:textId="170E7E79" w:rsidR="00180DCB"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5</w:t>
            </w:r>
          </w:p>
        </w:tc>
      </w:tr>
      <w:tr w:rsidR="0083462C" w:rsidRPr="00514094" w14:paraId="1D0CD0E4" w14:textId="77777777" w:rsidTr="000A35BB">
        <w:trPr>
          <w:trHeight w:hRule="exact" w:val="1999"/>
        </w:trPr>
        <w:tc>
          <w:tcPr>
            <w:tcW w:w="197" w:type="pct"/>
            <w:vAlign w:val="center"/>
          </w:tcPr>
          <w:p w14:paraId="35A9BF3F" w14:textId="77777777" w:rsidR="0028776E" w:rsidRPr="00514094" w:rsidRDefault="0028776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lastRenderedPageBreak/>
              <w:t>3</w:t>
            </w:r>
          </w:p>
        </w:tc>
        <w:tc>
          <w:tcPr>
            <w:tcW w:w="905" w:type="pct"/>
            <w:vAlign w:val="center"/>
          </w:tcPr>
          <w:p w14:paraId="4C1AAC87" w14:textId="5D4C3A78" w:rsidR="0028776E" w:rsidRPr="00514094" w:rsidRDefault="000A35BB" w:rsidP="00180DCB">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Arsenic uptake and translocation in Plants/Plant and Cell Physiology/N Li, J Wang, WY Song</w:t>
            </w:r>
          </w:p>
        </w:tc>
        <w:tc>
          <w:tcPr>
            <w:tcW w:w="419" w:type="pct"/>
            <w:vAlign w:val="center"/>
          </w:tcPr>
          <w:p w14:paraId="36598C50" w14:textId="43E9556C" w:rsidR="0028776E" w:rsidRPr="00514094" w:rsidRDefault="000A35BB"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4.5</w:t>
            </w:r>
          </w:p>
        </w:tc>
        <w:tc>
          <w:tcPr>
            <w:tcW w:w="851" w:type="pct"/>
            <w:vAlign w:val="center"/>
          </w:tcPr>
          <w:p w14:paraId="2468A7AA" w14:textId="6BFDDDE2" w:rsidR="0028776E" w:rsidRPr="00514094" w:rsidRDefault="000A35BB"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2016, 57(1):4-13</w:t>
            </w:r>
          </w:p>
        </w:tc>
        <w:tc>
          <w:tcPr>
            <w:tcW w:w="603" w:type="pct"/>
            <w:vAlign w:val="center"/>
          </w:tcPr>
          <w:p w14:paraId="5DF4ECFD" w14:textId="14474BD0" w:rsidR="0028776E" w:rsidRPr="00514094" w:rsidRDefault="000A35BB" w:rsidP="00B17AB6">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2016</w:t>
            </w:r>
            <w:r w:rsidRPr="00514094">
              <w:rPr>
                <w:rFonts w:ascii="Times New Roman" w:hAnsi="Times New Roman" w:cs="Times New Roman"/>
                <w:sz w:val="20"/>
                <w:szCs w:val="20"/>
              </w:rPr>
              <w:t>年</w:t>
            </w:r>
            <w:r w:rsidRPr="00514094">
              <w:rPr>
                <w:rFonts w:ascii="Times New Roman" w:hAnsi="Times New Roman" w:cs="Times New Roman"/>
                <w:sz w:val="20"/>
                <w:szCs w:val="20"/>
              </w:rPr>
              <w:t>1</w:t>
            </w:r>
            <w:r w:rsidRPr="00514094">
              <w:rPr>
                <w:rFonts w:ascii="Times New Roman" w:hAnsi="Times New Roman" w:cs="Times New Roman"/>
                <w:sz w:val="20"/>
                <w:szCs w:val="20"/>
              </w:rPr>
              <w:t>月</w:t>
            </w:r>
          </w:p>
        </w:tc>
        <w:tc>
          <w:tcPr>
            <w:tcW w:w="401" w:type="pct"/>
            <w:vAlign w:val="center"/>
          </w:tcPr>
          <w:p w14:paraId="183483A6" w14:textId="0E343784" w:rsidR="0028776E" w:rsidRPr="00514094" w:rsidRDefault="000A35BB"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是</w:t>
            </w:r>
          </w:p>
        </w:tc>
        <w:tc>
          <w:tcPr>
            <w:tcW w:w="421" w:type="pct"/>
            <w:vAlign w:val="center"/>
          </w:tcPr>
          <w:p w14:paraId="31AB33B3" w14:textId="78920BCC" w:rsidR="0028776E" w:rsidRPr="00514094" w:rsidRDefault="000A35BB" w:rsidP="00B17AB6">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N Li, and WY Song</w:t>
            </w:r>
          </w:p>
        </w:tc>
        <w:tc>
          <w:tcPr>
            <w:tcW w:w="455" w:type="pct"/>
            <w:vAlign w:val="center"/>
          </w:tcPr>
          <w:p w14:paraId="0FEB1CF1" w14:textId="15DB8B05" w:rsidR="0028776E" w:rsidRPr="00514094" w:rsidRDefault="000A35BB" w:rsidP="00B17AB6">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李楠楠</w:t>
            </w:r>
          </w:p>
        </w:tc>
        <w:tc>
          <w:tcPr>
            <w:tcW w:w="387" w:type="pct"/>
            <w:vAlign w:val="center"/>
          </w:tcPr>
          <w:p w14:paraId="49C204E5" w14:textId="5BFBF8F7" w:rsidR="0028776E"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10</w:t>
            </w:r>
          </w:p>
        </w:tc>
        <w:tc>
          <w:tcPr>
            <w:tcW w:w="361" w:type="pct"/>
            <w:vAlign w:val="center"/>
          </w:tcPr>
          <w:p w14:paraId="334299A3" w14:textId="2A6BCEAB" w:rsidR="0028776E"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10</w:t>
            </w:r>
          </w:p>
        </w:tc>
      </w:tr>
      <w:tr w:rsidR="0083462C" w:rsidRPr="00514094" w14:paraId="1CC88259" w14:textId="77777777" w:rsidTr="0083462C">
        <w:trPr>
          <w:trHeight w:hRule="exact" w:val="2853"/>
        </w:trPr>
        <w:tc>
          <w:tcPr>
            <w:tcW w:w="197" w:type="pct"/>
            <w:vAlign w:val="center"/>
          </w:tcPr>
          <w:p w14:paraId="0FB68A08" w14:textId="77777777" w:rsidR="00704237" w:rsidRPr="00514094" w:rsidRDefault="0028776E"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4</w:t>
            </w:r>
          </w:p>
        </w:tc>
        <w:tc>
          <w:tcPr>
            <w:tcW w:w="905" w:type="pct"/>
            <w:vAlign w:val="center"/>
          </w:tcPr>
          <w:p w14:paraId="42DCCA9A" w14:textId="5DC6E1ED" w:rsidR="0083462C" w:rsidRPr="0083462C" w:rsidRDefault="0083462C" w:rsidP="0083462C">
            <w:pPr>
              <w:widowControl/>
              <w:shd w:val="clear" w:color="auto" w:fill="FFFFFF"/>
              <w:spacing w:after="240"/>
              <w:outlineLvl w:val="0"/>
              <w:rPr>
                <w:rFonts w:ascii="Times New Roman" w:eastAsia="宋体" w:hAnsi="Times New Roman" w:cs="Times New Roman"/>
                <w:color w:val="1B3051"/>
                <w:kern w:val="36"/>
                <w:sz w:val="20"/>
                <w:szCs w:val="20"/>
              </w:rPr>
            </w:pPr>
            <w:r w:rsidRPr="0083462C">
              <w:rPr>
                <w:rFonts w:ascii="Times New Roman" w:eastAsia="宋体" w:hAnsi="Times New Roman" w:cs="Times New Roman"/>
                <w:color w:val="1B3051"/>
                <w:kern w:val="36"/>
                <w:sz w:val="20"/>
                <w:szCs w:val="20"/>
              </w:rPr>
              <w:t>Characterization of </w:t>
            </w:r>
            <w:r w:rsidRPr="0083462C">
              <w:rPr>
                <w:rFonts w:ascii="Times New Roman" w:eastAsia="宋体" w:hAnsi="Times New Roman" w:cs="Times New Roman"/>
                <w:i/>
                <w:iCs/>
                <w:color w:val="1B3051"/>
                <w:kern w:val="36"/>
                <w:sz w:val="20"/>
                <w:szCs w:val="20"/>
              </w:rPr>
              <w:t>Fatty Acid EXporters</w:t>
            </w:r>
            <w:r w:rsidRPr="0083462C">
              <w:rPr>
                <w:rFonts w:ascii="Times New Roman" w:eastAsia="宋体" w:hAnsi="Times New Roman" w:cs="Times New Roman"/>
                <w:color w:val="1B3051"/>
                <w:kern w:val="36"/>
                <w:sz w:val="20"/>
                <w:szCs w:val="20"/>
              </w:rPr>
              <w:t> involved in fatty acid transport for oil accumulation in the green alga </w:t>
            </w:r>
            <w:r w:rsidRPr="0083462C">
              <w:rPr>
                <w:rFonts w:ascii="Times New Roman" w:eastAsia="宋体" w:hAnsi="Times New Roman" w:cs="Times New Roman"/>
                <w:i/>
                <w:iCs/>
                <w:color w:val="1B3051"/>
                <w:kern w:val="36"/>
                <w:sz w:val="20"/>
                <w:szCs w:val="20"/>
              </w:rPr>
              <w:t>Chlamydomonas reinhardtii</w:t>
            </w:r>
            <w:r w:rsidRPr="00514094">
              <w:rPr>
                <w:rFonts w:ascii="Times New Roman" w:eastAsia="宋体" w:hAnsi="Times New Roman" w:cs="Times New Roman"/>
                <w:i/>
                <w:iCs/>
                <w:color w:val="1B3051"/>
                <w:kern w:val="36"/>
                <w:sz w:val="20"/>
                <w:szCs w:val="20"/>
              </w:rPr>
              <w:t>/</w:t>
            </w:r>
            <w:r w:rsidRPr="00514094">
              <w:rPr>
                <w:rFonts w:ascii="Times New Roman" w:eastAsia="宋体" w:hAnsi="Times New Roman" w:cs="Times New Roman"/>
                <w:color w:val="1B3051"/>
                <w:kern w:val="36"/>
                <w:sz w:val="20"/>
                <w:szCs w:val="20"/>
              </w:rPr>
              <w:t>Biotechnology for Biofuels/N Li, Y Zhang, H Meng, S Li, S Wang, Z Xiao, P Chang, X Zhang, Q Li, L Guo, Y Igarashi, F Luo</w:t>
            </w:r>
          </w:p>
          <w:p w14:paraId="68DA0828" w14:textId="5AA3395F" w:rsidR="00704237" w:rsidRPr="00514094" w:rsidRDefault="00704237" w:rsidP="0083462C">
            <w:pPr>
              <w:rPr>
                <w:rFonts w:ascii="Times New Roman" w:hAnsi="Times New Roman" w:cs="Times New Roman"/>
                <w:sz w:val="20"/>
                <w:szCs w:val="20"/>
              </w:rPr>
            </w:pPr>
          </w:p>
        </w:tc>
        <w:tc>
          <w:tcPr>
            <w:tcW w:w="419" w:type="pct"/>
            <w:vAlign w:val="center"/>
          </w:tcPr>
          <w:p w14:paraId="0F77C9AA" w14:textId="0A41DC3C" w:rsidR="00704237" w:rsidRPr="00514094" w:rsidRDefault="0083462C"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6.0</w:t>
            </w:r>
          </w:p>
        </w:tc>
        <w:tc>
          <w:tcPr>
            <w:tcW w:w="851" w:type="pct"/>
            <w:vAlign w:val="center"/>
          </w:tcPr>
          <w:p w14:paraId="01803E27" w14:textId="65D420D7" w:rsidR="00704237" w:rsidRPr="00514094" w:rsidRDefault="001D5236"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2019</w:t>
            </w:r>
            <w:r w:rsidRPr="00514094">
              <w:rPr>
                <w:rFonts w:ascii="Times New Roman" w:hAnsi="Times New Roman" w:cs="Times New Roman"/>
                <w:sz w:val="20"/>
                <w:szCs w:val="20"/>
              </w:rPr>
              <w:t>（</w:t>
            </w:r>
            <w:r w:rsidRPr="00514094">
              <w:rPr>
                <w:rFonts w:ascii="Times New Roman" w:hAnsi="Times New Roman" w:cs="Times New Roman"/>
                <w:sz w:val="20"/>
                <w:szCs w:val="20"/>
              </w:rPr>
              <w:t>14</w:t>
            </w:r>
            <w:r w:rsidRPr="00514094">
              <w:rPr>
                <w:rFonts w:ascii="Times New Roman" w:hAnsi="Times New Roman" w:cs="Times New Roman"/>
                <w:sz w:val="20"/>
                <w:szCs w:val="20"/>
              </w:rPr>
              <w:t>）</w:t>
            </w:r>
            <w:r w:rsidRPr="00514094">
              <w:rPr>
                <w:rFonts w:ascii="Times New Roman" w:hAnsi="Times New Roman" w:cs="Times New Roman"/>
                <w:sz w:val="20"/>
                <w:szCs w:val="20"/>
              </w:rPr>
              <w:t>:12</w:t>
            </w:r>
          </w:p>
        </w:tc>
        <w:tc>
          <w:tcPr>
            <w:tcW w:w="603" w:type="pct"/>
            <w:vAlign w:val="center"/>
          </w:tcPr>
          <w:p w14:paraId="2FDD04E8" w14:textId="4DF9A8AC" w:rsidR="00704237" w:rsidRPr="00514094" w:rsidRDefault="001D5236"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2019</w:t>
            </w:r>
            <w:r w:rsidRPr="00514094">
              <w:rPr>
                <w:rFonts w:ascii="Times New Roman" w:hAnsi="Times New Roman" w:cs="Times New Roman"/>
                <w:sz w:val="20"/>
                <w:szCs w:val="20"/>
              </w:rPr>
              <w:t>年</w:t>
            </w:r>
            <w:r w:rsidRPr="00514094">
              <w:rPr>
                <w:rFonts w:ascii="Times New Roman" w:hAnsi="Times New Roman" w:cs="Times New Roman"/>
                <w:sz w:val="20"/>
                <w:szCs w:val="20"/>
              </w:rPr>
              <w:t>1</w:t>
            </w:r>
            <w:r w:rsidRPr="00514094">
              <w:rPr>
                <w:rFonts w:ascii="Times New Roman" w:hAnsi="Times New Roman" w:cs="Times New Roman"/>
                <w:sz w:val="20"/>
                <w:szCs w:val="20"/>
              </w:rPr>
              <w:t>月</w:t>
            </w:r>
            <w:r w:rsidRPr="00514094">
              <w:rPr>
                <w:rFonts w:ascii="Times New Roman" w:hAnsi="Times New Roman" w:cs="Times New Roman"/>
                <w:sz w:val="20"/>
                <w:szCs w:val="20"/>
              </w:rPr>
              <w:t>12</w:t>
            </w:r>
            <w:r w:rsidRPr="00514094">
              <w:rPr>
                <w:rFonts w:ascii="Times New Roman" w:hAnsi="Times New Roman" w:cs="Times New Roman"/>
                <w:sz w:val="20"/>
                <w:szCs w:val="20"/>
              </w:rPr>
              <w:t>日</w:t>
            </w:r>
          </w:p>
        </w:tc>
        <w:tc>
          <w:tcPr>
            <w:tcW w:w="401" w:type="pct"/>
            <w:vAlign w:val="center"/>
          </w:tcPr>
          <w:p w14:paraId="4D120E99" w14:textId="15FCC38E" w:rsidR="00704237" w:rsidRPr="00514094" w:rsidRDefault="001D5236"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是</w:t>
            </w:r>
          </w:p>
        </w:tc>
        <w:tc>
          <w:tcPr>
            <w:tcW w:w="421" w:type="pct"/>
            <w:vAlign w:val="center"/>
          </w:tcPr>
          <w:p w14:paraId="48C6F283" w14:textId="4E9E6219" w:rsidR="00704237" w:rsidRPr="00514094" w:rsidRDefault="001D5236" w:rsidP="0083462C">
            <w:pP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N Li, F Luo</w:t>
            </w:r>
          </w:p>
        </w:tc>
        <w:tc>
          <w:tcPr>
            <w:tcW w:w="455" w:type="pct"/>
            <w:vAlign w:val="center"/>
          </w:tcPr>
          <w:p w14:paraId="1352758B" w14:textId="2D26359F" w:rsidR="00704237" w:rsidRPr="00514094" w:rsidRDefault="001D5236" w:rsidP="0083462C">
            <w:pPr>
              <w:rPr>
                <w:rFonts w:ascii="Times New Roman" w:hAnsi="Times New Roman" w:cs="Times New Roman"/>
                <w:sz w:val="20"/>
                <w:szCs w:val="20"/>
              </w:rPr>
            </w:pPr>
            <w:r w:rsidRPr="00514094">
              <w:rPr>
                <w:rFonts w:ascii="Times New Roman" w:hAnsi="Times New Roman" w:cs="Times New Roman"/>
                <w:sz w:val="20"/>
                <w:szCs w:val="20"/>
              </w:rPr>
              <w:t>李楠楠</w:t>
            </w:r>
          </w:p>
        </w:tc>
        <w:tc>
          <w:tcPr>
            <w:tcW w:w="387" w:type="pct"/>
            <w:vAlign w:val="center"/>
          </w:tcPr>
          <w:p w14:paraId="5D7402D4" w14:textId="2DE3D4C0" w:rsidR="00704237" w:rsidRPr="00514094" w:rsidRDefault="001D5236"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5</w:t>
            </w:r>
          </w:p>
        </w:tc>
        <w:tc>
          <w:tcPr>
            <w:tcW w:w="361" w:type="pct"/>
            <w:vAlign w:val="center"/>
          </w:tcPr>
          <w:p w14:paraId="469D54BC" w14:textId="7174C6DA" w:rsidR="00704237" w:rsidRPr="00514094" w:rsidRDefault="001D5236" w:rsidP="0083462C">
            <w:pPr>
              <w:spacing w:line="360" w:lineRule="auto"/>
              <w:rPr>
                <w:rFonts w:ascii="Times New Roman" w:hAnsi="Times New Roman" w:cs="Times New Roman"/>
                <w:sz w:val="20"/>
                <w:szCs w:val="20"/>
              </w:rPr>
            </w:pPr>
            <w:r w:rsidRPr="00514094">
              <w:rPr>
                <w:rFonts w:ascii="Times New Roman" w:hAnsi="Times New Roman" w:cs="Times New Roman"/>
                <w:sz w:val="20"/>
                <w:szCs w:val="20"/>
              </w:rPr>
              <w:t>5</w:t>
            </w:r>
          </w:p>
        </w:tc>
      </w:tr>
      <w:tr w:rsidR="0083462C" w:rsidRPr="00514094" w14:paraId="46682A6A" w14:textId="77777777" w:rsidTr="0083462C">
        <w:trPr>
          <w:trHeight w:hRule="exact" w:val="2279"/>
        </w:trPr>
        <w:tc>
          <w:tcPr>
            <w:tcW w:w="197" w:type="pct"/>
            <w:vAlign w:val="center"/>
          </w:tcPr>
          <w:p w14:paraId="533D3FD6" w14:textId="77777777" w:rsidR="00704237" w:rsidRPr="00514094" w:rsidRDefault="0028776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5</w:t>
            </w:r>
          </w:p>
        </w:tc>
        <w:tc>
          <w:tcPr>
            <w:tcW w:w="905" w:type="pct"/>
            <w:vAlign w:val="center"/>
          </w:tcPr>
          <w:p w14:paraId="05E7FB5E" w14:textId="5E6321D4" w:rsidR="0061673E" w:rsidRPr="00514094" w:rsidRDefault="0061673E" w:rsidP="0061673E">
            <w:pPr>
              <w:pStyle w:val="1"/>
              <w:shd w:val="clear" w:color="auto" w:fill="FCFCFC"/>
              <w:spacing w:before="0" w:beforeAutospacing="0" w:after="240" w:afterAutospacing="0"/>
              <w:rPr>
                <w:rFonts w:ascii="Times New Roman" w:hAnsi="Times New Roman" w:cs="Times New Roman"/>
                <w:b w:val="0"/>
                <w:bCs w:val="0"/>
                <w:color w:val="1B3051"/>
                <w:sz w:val="20"/>
                <w:szCs w:val="20"/>
              </w:rPr>
            </w:pPr>
            <w:r w:rsidRPr="00514094">
              <w:rPr>
                <w:rFonts w:ascii="Times New Roman" w:hAnsi="Times New Roman" w:cs="Times New Roman"/>
                <w:b w:val="0"/>
                <w:bCs w:val="0"/>
                <w:color w:val="1B3051"/>
                <w:sz w:val="20"/>
                <w:szCs w:val="20"/>
              </w:rPr>
              <w:t>Genome-wide analysis and expression profiling of the HMA gene family in Brassica napus under cd stress</w:t>
            </w:r>
            <w:r w:rsidRPr="00514094">
              <w:rPr>
                <w:rFonts w:ascii="Times New Roman" w:hAnsi="Times New Roman" w:cs="Times New Roman"/>
                <w:b w:val="0"/>
                <w:bCs w:val="0"/>
                <w:color w:val="1B3051"/>
                <w:sz w:val="20"/>
                <w:szCs w:val="20"/>
              </w:rPr>
              <w:t>/Plant and Soil/N Li, H Xiao,…X Shi and J Li</w:t>
            </w:r>
          </w:p>
          <w:p w14:paraId="6FC6D4B9" w14:textId="77777777" w:rsidR="00704237" w:rsidRPr="00514094" w:rsidRDefault="00704237" w:rsidP="00180DCB">
            <w:pPr>
              <w:snapToGrid w:val="0"/>
              <w:jc w:val="center"/>
              <w:rPr>
                <w:rFonts w:ascii="Times New Roman" w:eastAsia="宋体" w:hAnsi="Times New Roman" w:cs="Times New Roman"/>
                <w:color w:val="1B3051"/>
                <w:kern w:val="36"/>
                <w:sz w:val="20"/>
                <w:szCs w:val="20"/>
              </w:rPr>
            </w:pPr>
          </w:p>
        </w:tc>
        <w:tc>
          <w:tcPr>
            <w:tcW w:w="419" w:type="pct"/>
            <w:vAlign w:val="center"/>
          </w:tcPr>
          <w:p w14:paraId="39DBB132" w14:textId="77DC13D3" w:rsidR="00704237"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3.0</w:t>
            </w:r>
          </w:p>
        </w:tc>
        <w:tc>
          <w:tcPr>
            <w:tcW w:w="851" w:type="pct"/>
            <w:vAlign w:val="center"/>
          </w:tcPr>
          <w:p w14:paraId="3C29ABE6" w14:textId="40959FC5" w:rsidR="00704237" w:rsidRPr="00514094" w:rsidRDefault="0061673E" w:rsidP="00EA367F">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2018,426:365-381</w:t>
            </w:r>
          </w:p>
        </w:tc>
        <w:tc>
          <w:tcPr>
            <w:tcW w:w="603" w:type="pct"/>
            <w:vAlign w:val="center"/>
          </w:tcPr>
          <w:p w14:paraId="25B45D24" w14:textId="1DD616F7" w:rsidR="00704237" w:rsidRPr="00514094" w:rsidRDefault="0061673E" w:rsidP="003F40E6">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2018</w:t>
            </w:r>
            <w:r w:rsidRPr="00514094">
              <w:rPr>
                <w:rFonts w:ascii="Times New Roman" w:hAnsi="Times New Roman" w:cs="Times New Roman"/>
                <w:sz w:val="20"/>
                <w:szCs w:val="20"/>
              </w:rPr>
              <w:t>年</w:t>
            </w:r>
            <w:r w:rsidRPr="00514094">
              <w:rPr>
                <w:rFonts w:ascii="Times New Roman" w:hAnsi="Times New Roman" w:cs="Times New Roman"/>
                <w:sz w:val="20"/>
                <w:szCs w:val="20"/>
              </w:rPr>
              <w:t>4</w:t>
            </w:r>
            <w:r w:rsidRPr="00514094">
              <w:rPr>
                <w:rFonts w:ascii="Times New Roman" w:hAnsi="Times New Roman" w:cs="Times New Roman"/>
                <w:sz w:val="20"/>
                <w:szCs w:val="20"/>
              </w:rPr>
              <w:t>月</w:t>
            </w:r>
          </w:p>
        </w:tc>
        <w:tc>
          <w:tcPr>
            <w:tcW w:w="401" w:type="pct"/>
            <w:vAlign w:val="center"/>
          </w:tcPr>
          <w:p w14:paraId="1365E59A" w14:textId="393BC0F8" w:rsidR="00704237"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是</w:t>
            </w:r>
          </w:p>
        </w:tc>
        <w:tc>
          <w:tcPr>
            <w:tcW w:w="421" w:type="pct"/>
            <w:vAlign w:val="center"/>
          </w:tcPr>
          <w:p w14:paraId="47260F46" w14:textId="29BFA6E7" w:rsidR="00704237" w:rsidRPr="00514094" w:rsidRDefault="0061673E" w:rsidP="00EA367F">
            <w:pPr>
              <w:jc w:val="center"/>
              <w:rPr>
                <w:rFonts w:ascii="Times New Roman" w:eastAsia="宋体" w:hAnsi="Times New Roman" w:cs="Times New Roman"/>
                <w:color w:val="000000"/>
                <w:kern w:val="0"/>
                <w:sz w:val="20"/>
                <w:szCs w:val="20"/>
                <w:u w:color="0D0D0D"/>
                <w:bdr w:val="nil"/>
              </w:rPr>
            </w:pPr>
            <w:r w:rsidRPr="00514094">
              <w:rPr>
                <w:rFonts w:ascii="Times New Roman" w:eastAsia="宋体" w:hAnsi="Times New Roman" w:cs="Times New Roman"/>
                <w:color w:val="000000"/>
                <w:kern w:val="0"/>
                <w:sz w:val="20"/>
                <w:szCs w:val="20"/>
                <w:u w:color="0D0D0D"/>
                <w:bdr w:val="nil"/>
              </w:rPr>
              <w:t>N Li</w:t>
            </w:r>
          </w:p>
        </w:tc>
        <w:tc>
          <w:tcPr>
            <w:tcW w:w="455" w:type="pct"/>
            <w:vAlign w:val="center"/>
          </w:tcPr>
          <w:p w14:paraId="1A24D177" w14:textId="3872AB62" w:rsidR="00704237" w:rsidRPr="00514094" w:rsidRDefault="0061673E" w:rsidP="00EA367F">
            <w:pPr>
              <w:jc w:val="center"/>
              <w:rPr>
                <w:rFonts w:ascii="Times New Roman" w:eastAsia="宋体" w:hAnsi="Times New Roman" w:cs="Times New Roman"/>
                <w:color w:val="000000"/>
                <w:kern w:val="0"/>
                <w:sz w:val="20"/>
                <w:szCs w:val="20"/>
                <w:u w:color="0D0D0D"/>
                <w:bdr w:val="nil"/>
                <w:lang w:eastAsia="en-US"/>
              </w:rPr>
            </w:pPr>
            <w:r w:rsidRPr="00514094">
              <w:rPr>
                <w:rFonts w:ascii="Times New Roman" w:eastAsia="宋体" w:hAnsi="Times New Roman" w:cs="Times New Roman"/>
                <w:color w:val="000000"/>
                <w:kern w:val="0"/>
                <w:sz w:val="20"/>
                <w:szCs w:val="20"/>
                <w:u w:color="0D0D0D"/>
                <w:bdr w:val="nil"/>
              </w:rPr>
              <w:t>李楠楠</w:t>
            </w:r>
          </w:p>
        </w:tc>
        <w:tc>
          <w:tcPr>
            <w:tcW w:w="387" w:type="pct"/>
            <w:vAlign w:val="center"/>
          </w:tcPr>
          <w:p w14:paraId="11847E53" w14:textId="18DE72AF" w:rsidR="00704237"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16</w:t>
            </w:r>
          </w:p>
        </w:tc>
        <w:tc>
          <w:tcPr>
            <w:tcW w:w="361" w:type="pct"/>
            <w:vAlign w:val="center"/>
          </w:tcPr>
          <w:p w14:paraId="22EF038E" w14:textId="0FB0AE33" w:rsidR="00704237"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16</w:t>
            </w:r>
          </w:p>
        </w:tc>
      </w:tr>
      <w:tr w:rsidR="00704237" w:rsidRPr="00514094" w14:paraId="2EC0E8AF" w14:textId="77777777" w:rsidTr="00B77A52">
        <w:trPr>
          <w:trHeight w:hRule="exact" w:val="737"/>
        </w:trPr>
        <w:tc>
          <w:tcPr>
            <w:tcW w:w="4252" w:type="pct"/>
            <w:gridSpan w:val="8"/>
            <w:vAlign w:val="center"/>
          </w:tcPr>
          <w:p w14:paraId="252FF775" w14:textId="77777777" w:rsidR="00704237" w:rsidRPr="00514094" w:rsidRDefault="00704237" w:rsidP="004845CD">
            <w:pPr>
              <w:spacing w:line="360" w:lineRule="auto"/>
              <w:jc w:val="center"/>
              <w:rPr>
                <w:rFonts w:ascii="Times New Roman" w:eastAsia="宋体" w:hAnsi="Times New Roman" w:cs="Times New Roman"/>
                <w:color w:val="1B3051"/>
                <w:kern w:val="36"/>
                <w:sz w:val="20"/>
                <w:szCs w:val="20"/>
              </w:rPr>
            </w:pPr>
            <w:r w:rsidRPr="00514094">
              <w:rPr>
                <w:rFonts w:ascii="Times New Roman" w:eastAsia="宋体" w:hAnsi="Times New Roman" w:cs="Times New Roman"/>
                <w:color w:val="1B3051"/>
                <w:kern w:val="36"/>
                <w:sz w:val="20"/>
                <w:szCs w:val="20"/>
              </w:rPr>
              <w:t>合计</w:t>
            </w:r>
          </w:p>
        </w:tc>
        <w:tc>
          <w:tcPr>
            <w:tcW w:w="387" w:type="pct"/>
            <w:vAlign w:val="center"/>
          </w:tcPr>
          <w:p w14:paraId="3C34F9E7" w14:textId="23D37F64" w:rsidR="00704237" w:rsidRPr="00514094" w:rsidRDefault="0061673E" w:rsidP="00A2137E">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137</w:t>
            </w:r>
          </w:p>
        </w:tc>
        <w:tc>
          <w:tcPr>
            <w:tcW w:w="361" w:type="pct"/>
            <w:vAlign w:val="center"/>
          </w:tcPr>
          <w:p w14:paraId="5763E7D0" w14:textId="15D2C942" w:rsidR="00704237" w:rsidRPr="00514094" w:rsidRDefault="0061673E" w:rsidP="004845CD">
            <w:pPr>
              <w:spacing w:line="360" w:lineRule="auto"/>
              <w:jc w:val="center"/>
              <w:rPr>
                <w:rFonts w:ascii="Times New Roman" w:hAnsi="Times New Roman" w:cs="Times New Roman"/>
                <w:sz w:val="20"/>
                <w:szCs w:val="20"/>
              </w:rPr>
            </w:pPr>
            <w:r w:rsidRPr="00514094">
              <w:rPr>
                <w:rFonts w:ascii="Times New Roman" w:hAnsi="Times New Roman" w:cs="Times New Roman"/>
                <w:sz w:val="20"/>
                <w:szCs w:val="20"/>
              </w:rPr>
              <w:t>137</w:t>
            </w:r>
          </w:p>
        </w:tc>
      </w:tr>
    </w:tbl>
    <w:p w14:paraId="39AB5E69" w14:textId="77777777" w:rsidR="004E070F" w:rsidRPr="002A259D" w:rsidRDefault="004E070F" w:rsidP="00162ADB">
      <w:pPr>
        <w:spacing w:afterLines="50" w:after="156" w:line="400" w:lineRule="exact"/>
      </w:pPr>
    </w:p>
    <w:sectPr w:rsidR="004E070F" w:rsidRPr="002A259D" w:rsidSect="00B77A52">
      <w:headerReference w:type="default" r:id="rId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2DCB" w14:textId="77777777" w:rsidR="00423669" w:rsidRDefault="00423669" w:rsidP="00C3790C">
      <w:r>
        <w:separator/>
      </w:r>
    </w:p>
  </w:endnote>
  <w:endnote w:type="continuationSeparator" w:id="0">
    <w:p w14:paraId="5A177F69" w14:textId="77777777" w:rsidR="00423669" w:rsidRDefault="00423669"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7659" w14:textId="77777777" w:rsidR="00423669" w:rsidRDefault="00423669" w:rsidP="00C3790C">
      <w:r>
        <w:separator/>
      </w:r>
    </w:p>
  </w:footnote>
  <w:footnote w:type="continuationSeparator" w:id="0">
    <w:p w14:paraId="0DD8BB9C" w14:textId="77777777" w:rsidR="00423669" w:rsidRDefault="00423669" w:rsidP="00C3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9A9B" w14:textId="77777777" w:rsidR="00AB0296" w:rsidRDefault="00423669"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D"/>
    <w:rsid w:val="000001F0"/>
    <w:rsid w:val="00052802"/>
    <w:rsid w:val="000A35BB"/>
    <w:rsid w:val="00156CD8"/>
    <w:rsid w:val="00162ADB"/>
    <w:rsid w:val="00180DCB"/>
    <w:rsid w:val="001D056E"/>
    <w:rsid w:val="001D5236"/>
    <w:rsid w:val="0024445F"/>
    <w:rsid w:val="0028776E"/>
    <w:rsid w:val="002A259D"/>
    <w:rsid w:val="002C3D7F"/>
    <w:rsid w:val="002E440F"/>
    <w:rsid w:val="003239EF"/>
    <w:rsid w:val="003E34A5"/>
    <w:rsid w:val="003F40E6"/>
    <w:rsid w:val="00423669"/>
    <w:rsid w:val="00425288"/>
    <w:rsid w:val="00454EC8"/>
    <w:rsid w:val="00464E71"/>
    <w:rsid w:val="004E070F"/>
    <w:rsid w:val="00514094"/>
    <w:rsid w:val="00515CC3"/>
    <w:rsid w:val="005E5F60"/>
    <w:rsid w:val="00612777"/>
    <w:rsid w:val="0061673E"/>
    <w:rsid w:val="00674B35"/>
    <w:rsid w:val="00704237"/>
    <w:rsid w:val="0071033D"/>
    <w:rsid w:val="007F4C64"/>
    <w:rsid w:val="00833F37"/>
    <w:rsid w:val="0083462C"/>
    <w:rsid w:val="00940738"/>
    <w:rsid w:val="00A2137E"/>
    <w:rsid w:val="00A33303"/>
    <w:rsid w:val="00A60C91"/>
    <w:rsid w:val="00A9663B"/>
    <w:rsid w:val="00B04353"/>
    <w:rsid w:val="00B07300"/>
    <w:rsid w:val="00B17AB6"/>
    <w:rsid w:val="00B77A52"/>
    <w:rsid w:val="00C3790C"/>
    <w:rsid w:val="00C659BD"/>
    <w:rsid w:val="00C73384"/>
    <w:rsid w:val="00D946AE"/>
    <w:rsid w:val="00DD18B9"/>
    <w:rsid w:val="00E23BB2"/>
    <w:rsid w:val="00E71412"/>
    <w:rsid w:val="00EA367F"/>
    <w:rsid w:val="00EE5BF8"/>
    <w:rsid w:val="00F032B4"/>
    <w:rsid w:val="00F10620"/>
    <w:rsid w:val="00F33358"/>
    <w:rsid w:val="00F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F064"/>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D"/>
    <w:pPr>
      <w:widowControl w:val="0"/>
      <w:jc w:val="both"/>
    </w:pPr>
  </w:style>
  <w:style w:type="paragraph" w:styleId="1">
    <w:name w:val="heading 1"/>
    <w:basedOn w:val="a"/>
    <w:link w:val="10"/>
    <w:uiPriority w:val="9"/>
    <w:qFormat/>
    <w:rsid w:val="008346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 w:type="character" w:customStyle="1" w:styleId="10">
    <w:name w:val="标题 1 字符"/>
    <w:basedOn w:val="a0"/>
    <w:link w:val="1"/>
    <w:uiPriority w:val="9"/>
    <w:rsid w:val="0083462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1694">
      <w:bodyDiv w:val="1"/>
      <w:marLeft w:val="0"/>
      <w:marRight w:val="0"/>
      <w:marTop w:val="0"/>
      <w:marBottom w:val="0"/>
      <w:divBdr>
        <w:top w:val="none" w:sz="0" w:space="0" w:color="auto"/>
        <w:left w:val="none" w:sz="0" w:space="0" w:color="auto"/>
        <w:bottom w:val="none" w:sz="0" w:space="0" w:color="auto"/>
        <w:right w:val="none" w:sz="0" w:space="0" w:color="auto"/>
      </w:divBdr>
    </w:div>
    <w:div w:id="965311915">
      <w:bodyDiv w:val="1"/>
      <w:marLeft w:val="0"/>
      <w:marRight w:val="0"/>
      <w:marTop w:val="0"/>
      <w:marBottom w:val="0"/>
      <w:divBdr>
        <w:top w:val="none" w:sz="0" w:space="0" w:color="auto"/>
        <w:left w:val="none" w:sz="0" w:space="0" w:color="auto"/>
        <w:bottom w:val="none" w:sz="0" w:space="0" w:color="auto"/>
        <w:right w:val="none" w:sz="0" w:space="0" w:color="auto"/>
      </w:divBdr>
    </w:div>
    <w:div w:id="11174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249</Words>
  <Characters>1424</Characters>
  <Application>Microsoft Office Word</Application>
  <DocSecurity>0</DocSecurity>
  <Lines>11</Lines>
  <Paragraphs>3</Paragraphs>
  <ScaleCrop>false</ScaleCrop>
  <Company>china</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彩云 石</cp:lastModifiedBy>
  <cp:revision>12</cp:revision>
  <dcterms:created xsi:type="dcterms:W3CDTF">2021-09-02T07:34:00Z</dcterms:created>
  <dcterms:modified xsi:type="dcterms:W3CDTF">2021-09-07T15:13:00Z</dcterms:modified>
</cp:coreProperties>
</file>