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ascii="Times New Roman" w:hAnsi="Times New Roman" w:eastAsia="方正仿宋_GBK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宋体" w:eastAsia="方正仿宋_GBK"/>
          <w:b/>
          <w:color w:val="000000"/>
          <w:sz w:val="28"/>
          <w:szCs w:val="28"/>
          <w:shd w:val="clear" w:color="auto" w:fill="FFFFFF"/>
        </w:rPr>
        <w:t>一、成果基本信息</w:t>
      </w:r>
    </w:p>
    <w:tbl>
      <w:tblPr>
        <w:tblStyle w:val="5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84"/>
        <w:gridCol w:w="2056"/>
        <w:gridCol w:w="2253"/>
        <w:gridCol w:w="1385"/>
        <w:gridCol w:w="1265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宋体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749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Style w:val="8"/>
                <w:rFonts w:hint="eastAsia" w:ascii="Times New Roman" w:hAnsi="宋体" w:eastAsia="方正仿宋_GBK" w:cs="Tahoma"/>
                <w:color w:val="000000"/>
                <w:sz w:val="28"/>
                <w:szCs w:val="28"/>
                <w:shd w:val="clear" w:color="auto" w:fill="FFFFFF"/>
              </w:rPr>
              <w:t>成果名称</w:t>
            </w: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Style w:val="8"/>
                <w:rFonts w:hint="eastAsia" w:ascii="Times New Roman" w:hAnsi="宋体" w:eastAsia="方正仿宋_GBK" w:cs="Tahoma"/>
                <w:color w:val="000000"/>
                <w:sz w:val="28"/>
                <w:szCs w:val="28"/>
                <w:shd w:val="clear" w:color="auto" w:fill="FFFFFF"/>
              </w:rPr>
              <w:t>主要完成人</w:t>
            </w:r>
          </w:p>
        </w:tc>
        <w:tc>
          <w:tcPr>
            <w:tcW w:w="106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Style w:val="8"/>
                <w:rFonts w:hint="eastAsia" w:ascii="Times New Roman" w:hAnsi="宋体" w:eastAsia="方正仿宋_GBK" w:cs="Tahoma"/>
                <w:color w:val="000000"/>
                <w:sz w:val="28"/>
                <w:szCs w:val="28"/>
                <w:shd w:val="clear" w:color="auto" w:fill="FFFFFF"/>
              </w:rPr>
              <w:t>主要完成单位</w:t>
            </w:r>
          </w:p>
        </w:tc>
        <w:tc>
          <w:tcPr>
            <w:tcW w:w="65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宋体" w:eastAsia="方正仿宋_GBK" w:cs="Times New Roman"/>
                <w:b/>
                <w:sz w:val="28"/>
                <w:szCs w:val="28"/>
              </w:rPr>
              <w:t>奖种</w:t>
            </w:r>
          </w:p>
        </w:tc>
        <w:tc>
          <w:tcPr>
            <w:tcW w:w="598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宋体" w:eastAsia="方正仿宋_GBK"/>
                <w:b/>
                <w:color w:val="000000"/>
                <w:sz w:val="28"/>
                <w:szCs w:val="28"/>
                <w:shd w:val="clear" w:color="auto" w:fill="FFFFFF"/>
              </w:rPr>
              <w:t>提名者</w:t>
            </w:r>
          </w:p>
        </w:tc>
        <w:tc>
          <w:tcPr>
            <w:tcW w:w="628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宋体" w:eastAsia="方正仿宋_GBK"/>
                <w:b/>
                <w:color w:val="000000"/>
                <w:sz w:val="28"/>
                <w:szCs w:val="28"/>
                <w:shd w:val="clear" w:color="auto" w:fill="FFFFFF"/>
              </w:rPr>
              <w:t>拟申报等级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330" w:type="pc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9" w:type="pc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兔肉营养特征及加工关键技术研究与产业化示范</w:t>
            </w:r>
          </w:p>
        </w:tc>
        <w:tc>
          <w:tcPr>
            <w:tcW w:w="972" w:type="pc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李洪军、王永康、谭宏伟、贺稚非、景开旺、张宇昊、张  晶、夏杨毅、索化夷、刘  英</w:t>
            </w:r>
          </w:p>
        </w:tc>
        <w:tc>
          <w:tcPr>
            <w:tcW w:w="1065" w:type="pc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西南大学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重庆市畜牧技术推广总站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重庆阿兴记食品股份有限公司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重庆兔管家科技发展有限公司</w:t>
            </w:r>
          </w:p>
        </w:tc>
        <w:tc>
          <w:tcPr>
            <w:tcW w:w="655" w:type="pc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科技进步奖（社会公益类）</w:t>
            </w:r>
          </w:p>
        </w:tc>
        <w:tc>
          <w:tcPr>
            <w:tcW w:w="598" w:type="pc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重庆市教育委员会</w:t>
            </w:r>
          </w:p>
        </w:tc>
        <w:tc>
          <w:tcPr>
            <w:tcW w:w="628" w:type="pc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K"/>
          <w:sz w:val="24"/>
          <w:szCs w:val="32"/>
        </w:rPr>
      </w:pPr>
    </w:p>
    <w:p>
      <w:pPr>
        <w:numPr>
          <w:ilvl w:val="0"/>
          <w:numId w:val="1"/>
        </w:numPr>
        <w:spacing w:after="156" w:afterLines="50" w:line="400" w:lineRule="exact"/>
        <w:rPr>
          <w:rFonts w:hint="eastAsia" w:ascii="Times New Roman" w:hAnsi="宋体" w:eastAsia="方正仿宋_GBK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宋体" w:eastAsia="方正仿宋_GBK"/>
          <w:b/>
          <w:color w:val="000000"/>
          <w:sz w:val="28"/>
          <w:szCs w:val="28"/>
          <w:shd w:val="clear" w:color="auto" w:fill="FFFFFF"/>
        </w:rPr>
        <w:t>项目简介</w:t>
      </w:r>
    </w:p>
    <w:p>
      <w:pPr>
        <w:snapToGrid w:val="0"/>
        <w:spacing w:line="360" w:lineRule="auto"/>
        <w:ind w:firstLine="499" w:firstLineChars="207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1.主要技术内容</w:t>
      </w: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重庆是我国肉兔生产重要区域，肉兔出栏居全国第三位。项目针对兔肉营养数据缺乏、冷链保鲜与产品加工薄弱、缺乏优良品种与高效养殖等关键问题，重点开展了兔肉营养特征、异味溯源、锁鲜技术与自动加工制造、规模养殖等核心技术研发集成，构建了“良种肉兔-高效养殖-产品制造”的肉兔产业化技术体系。</w:t>
      </w:r>
    </w:p>
    <w:p>
      <w:pPr>
        <w:snapToGrid w:val="0"/>
        <w:spacing w:line="360" w:lineRule="auto"/>
        <w:ind w:firstLine="499" w:firstLineChars="207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2.技术创新点</w:t>
      </w:r>
    </w:p>
    <w:p>
      <w:pPr>
        <w:snapToGrid w:val="0"/>
        <w:spacing w:line="360" w:lineRule="auto"/>
        <w:ind w:firstLine="496" w:firstLineChars="207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（1）研究揭示了兔肉蛋白组学及风味化学机理与变化规律。创新兔肉蛋白组学研究，发现不同年龄、性别和品种兔肉蛋白质种类及含量的显著差异，构建了兔肉“三高三低”营养品质特性数据库。发现了兔肉蛋白质氧化和脂肪氧化的交互作用，揭示了兔肉异味物质的化学本质及其形成机理，利用氧化动力学建立了兔肉制品质量预测模型，研究论文被评为2021年全球ESI高被引论文。</w:t>
      </w:r>
    </w:p>
    <w:p>
      <w:pPr>
        <w:snapToGrid w:val="0"/>
        <w:spacing w:line="360" w:lineRule="auto"/>
        <w:ind w:firstLine="496" w:firstLineChars="207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（2）突破了兔肉冷链保鲜与工业化加工技术瓶颈。集成了微生物发酵、冷链保鲜、酶解嫩化和风味调理等关键技术，研发了冷却兔肉、休闲食品和火锅配菜肉制品工业化加工新工艺和新产品，建成了自动化兔肉加工与包装先进生产线，突破了兔肉标准化与规模化加工的技术瓶颈。</w:t>
      </w:r>
    </w:p>
    <w:p>
      <w:pPr>
        <w:snapToGrid w:val="0"/>
        <w:spacing w:line="360" w:lineRule="auto"/>
        <w:ind w:firstLine="496" w:firstLineChars="207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（3）构建了肉兔良繁体系与商品化高效生产管理模式。成功引进了法国伊拉配套系曾祖代兔，首次系统测定了法国三大肉兔配套系生产性能,启动肉兔专门化品系选育至4世代，构建了重庆市肉兔良繁体系。针对高温高湿气候条件，集成多联体兔舍设计和无抗高效养殖等技术，创设了肉兔家庭农场、规模化养殖场和养殖园区三维建设新模式，研发出具有自主知识产权的信息化管理系统，实现了肉兔生产的规模化和信息化管理。</w:t>
      </w:r>
    </w:p>
    <w:p>
      <w:pPr>
        <w:snapToGrid w:val="0"/>
        <w:spacing w:line="360" w:lineRule="auto"/>
        <w:ind w:firstLine="499" w:firstLineChars="207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3.知识产权</w:t>
      </w:r>
    </w:p>
    <w:p>
      <w:pPr>
        <w:snapToGrid w:val="0"/>
        <w:spacing w:line="360" w:lineRule="auto"/>
        <w:ind w:firstLine="496" w:firstLineChars="207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授权专利41件，其中发明专利4件，实用新型28件，外观设计9件；软件著作权1项；制订标准8个；编写出版专著6部，发表论文83篇（SCI 27篇）；列入国家及市级主推技术6项。</w:t>
      </w:r>
    </w:p>
    <w:p>
      <w:pPr>
        <w:snapToGrid w:val="0"/>
        <w:spacing w:line="360" w:lineRule="auto"/>
        <w:ind w:firstLine="499" w:firstLineChars="207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4.应用推广及效益</w:t>
      </w:r>
    </w:p>
    <w:p>
      <w:pPr>
        <w:snapToGrid w:val="0"/>
        <w:spacing w:line="360" w:lineRule="auto"/>
        <w:ind w:firstLine="496" w:firstLineChars="207"/>
        <w:rPr>
          <w:rFonts w:hint="eastAsia" w:ascii="Times New Roman" w:hAnsi="宋体" w:eastAsia="方正仿宋_GBK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建立了国家兔肉加工技术专业研发中心1个、市级家兔健康养殖工程中心1个、种兔繁育基地3个、标准化肉兔养殖基地7个和兔肉加工厂3个。项目成果在重庆、贵州、云南等省市应用,并辐射到山东、新疆和四川等10余个省区，累计出栏优质肉兔10848.64万只,形成加工规模31300吨，新增总产值241247.38万元、总经济效益 107373.17万元，年均纯收益率1:3.87,项目取得了十分显著的经济、社会和生态效益，成果整体水平达到国内领先及国际先进水平，促进了成渝地区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双城经济圈肉兔产业带建设和乡村振兴。</w:t>
      </w:r>
    </w:p>
    <w:p>
      <w:pPr>
        <w:numPr>
          <w:ilvl w:val="0"/>
          <w:numId w:val="1"/>
        </w:numPr>
        <w:spacing w:after="156" w:afterLines="50" w:line="400" w:lineRule="exact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宋体" w:eastAsia="方正仿宋_GBK"/>
          <w:b/>
          <w:color w:val="000000"/>
          <w:sz w:val="28"/>
          <w:szCs w:val="28"/>
          <w:shd w:val="clear" w:color="auto" w:fill="FFFFFF"/>
        </w:rPr>
        <w:t>主要知识产权和标准规范等目录</w:t>
      </w:r>
    </w:p>
    <w:tbl>
      <w:tblPr>
        <w:tblStyle w:val="6"/>
        <w:tblpPr w:leftFromText="180" w:rightFromText="180" w:vertAnchor="text" w:horzAnchor="page" w:tblpX="720" w:tblpY="552"/>
        <w:tblOverlap w:val="never"/>
        <w:tblW w:w="11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53"/>
        <w:gridCol w:w="1068"/>
        <w:gridCol w:w="2151"/>
        <w:gridCol w:w="1521"/>
        <w:gridCol w:w="1466"/>
        <w:gridCol w:w="1154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ascii="Arial" w:hAnsi="Arial" w:eastAsia="宋体" w:cs="Arial"/>
                <w:b/>
                <w:bCs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ind w:left="0" w:leftChars="0" w:right="0" w:rightChars="0"/>
              <w:jc w:val="center"/>
              <w:textAlignment w:val="auto"/>
              <w:rPr>
                <w:rFonts w:ascii="Arial" w:hAnsi="Arial" w:eastAsia="宋体" w:cs="Arial"/>
                <w:b/>
                <w:bCs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  <w:t>知识产权具体名称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313" w:afterLines="100"/>
              <w:ind w:left="0" w:leftChars="0" w:right="0" w:rightChars="0"/>
              <w:jc w:val="center"/>
              <w:textAlignment w:val="auto"/>
              <w:rPr>
                <w:rFonts w:ascii="Arial" w:hAnsi="Arial" w:eastAsia="宋体" w:cs="Arial"/>
                <w:b/>
                <w:bCs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  <w:t>国  家（地区）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313" w:afterLines="100"/>
              <w:ind w:left="0" w:leftChars="0" w:right="0" w:rightChars="0"/>
              <w:jc w:val="center"/>
              <w:textAlignment w:val="auto"/>
              <w:rPr>
                <w:rFonts w:ascii="Arial" w:hAnsi="Arial" w:eastAsia="宋体" w:cs="Arial"/>
                <w:b/>
                <w:bCs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  <w:t>授权号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313" w:afterLines="100"/>
              <w:ind w:left="0" w:leftChars="0" w:right="0" w:rightChars="0"/>
              <w:jc w:val="center"/>
              <w:textAlignment w:val="auto"/>
              <w:rPr>
                <w:rFonts w:ascii="Arial" w:hAnsi="Arial" w:eastAsia="宋体" w:cs="Arial"/>
                <w:b/>
                <w:bCs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  <w:t>授权日期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313" w:afterLines="100"/>
              <w:ind w:left="0" w:leftChars="0" w:right="0" w:rightChars="0"/>
              <w:jc w:val="center"/>
              <w:textAlignment w:val="auto"/>
              <w:rPr>
                <w:rFonts w:ascii="Arial" w:hAnsi="Arial" w:eastAsia="宋体" w:cs="Arial"/>
                <w:b/>
                <w:bCs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  <w:t>证书编号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313" w:afterLines="100"/>
              <w:ind w:left="0" w:leftChars="0" w:right="0" w:rightChars="0"/>
              <w:jc w:val="center"/>
              <w:textAlignment w:val="auto"/>
              <w:rPr>
                <w:rFonts w:ascii="Arial" w:hAnsi="Arial" w:eastAsia="宋体" w:cs="Arial"/>
                <w:b/>
                <w:bCs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  <w:t>权利人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313" w:afterLines="100"/>
              <w:ind w:left="0" w:leftChars="0" w:right="0" w:rightChars="0"/>
              <w:jc w:val="center"/>
              <w:textAlignment w:val="auto"/>
              <w:rPr>
                <w:rFonts w:ascii="Arial" w:hAnsi="Arial" w:eastAsia="宋体" w:cs="Arial"/>
                <w:b/>
                <w:bCs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 w:val="0"/>
                <w:sz w:val="24"/>
                <w:szCs w:val="24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发明专利权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干酪乳杆菌 Lactobacillus casei strain Qian 工作发酵剂制品及其肠调节食疗用途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中国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ZL201510027686.8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2018-10-2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证书号第 3094932 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西南大学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索化夷;李键;赵欣;骞宇;陈炼红;兰道亮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发明专利权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一种从兔皮中提取明胶的方法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中国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ZL201510366677.1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2017-10-31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证书号第 2677195号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西南大学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张宇昊，于玮，马良，王雪蒙，李洪军，贺稚非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发明专利权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浓缩红酸汤及其制备方法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中国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ZL201510258872.2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2018-1-5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证书号第2767396号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西南大学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张玉;贺稚非;李洪军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发明专利权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浓缩白酸汤及其制备方法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中国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Zl201510258831.3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2018-1-5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证书号第2767450号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西南大学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张玉;贺稚非;李洪军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计算机软件著作权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软著-肉兔养殖系统一体化搭建应用平台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中国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2020SR1701957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2015-04-01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软著登字第6602929号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重庆市畜牧技术推广总站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张晶、景开旺、谭宏伟、王永康等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其他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国际会议优秀论文-技术说明：气相色谱-质谱联用同时蒸馏提取兔肉中关键挥发性气味的表征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世界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国际会议优秀论文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2016,36（6）： 719~728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World Rabbit Sci.</w:t>
            </w: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(SCI)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西南大学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李洪军；贺稚非等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其他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地方标准-伊拉配套系祖代种兔种质评定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中国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DB50/T 943- 2019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2019-09-</w:t>
            </w: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重庆市市场监督管理局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重庆市畜牧技术里推广总站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张晶；谭宏伟；景开旺；王永康等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其他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地方标准-伊拉配套系父母代种兔种质评定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中国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DB50/T 94</w:t>
            </w: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- 2019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2019-09-</w:t>
            </w: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重庆市市场监督管理局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重庆市畜牧技术推广总站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荆战星；张晶；谭宏伟；景开旺；王永康；郑中福等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其他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地方标准-肉兔育肥效果评价指南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中国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DB 50/T 1063- 2020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20</w:t>
            </w: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-</w:t>
            </w: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-</w:t>
            </w: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01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重庆市市场监督管理局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西南大学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both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吕景智；李洪军；贺稚非；范成莉；沈代福；张翥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</w:rPr>
              <w:t>其他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著作：肉兔规模场生产经营全程关键技术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中国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ISBN 978-7-109-24415-3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2019-01</w:t>
            </w:r>
          </w:p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中国版本图书馆CIP数据核字（2018）第166548号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重庆市畜牧技术推广总站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szCs w:val="21"/>
                <w:lang w:val="en-US" w:eastAsia="zh-CN"/>
              </w:rPr>
              <w:t>王永康、景开旺、谭宏伟、张晶等</w:t>
            </w:r>
          </w:p>
        </w:tc>
      </w:tr>
    </w:tbl>
    <w:p>
      <w:pPr>
        <w:numPr>
          <w:ilvl w:val="0"/>
          <w:numId w:val="0"/>
        </w:numPr>
        <w:spacing w:after="156" w:afterLines="50" w:line="400" w:lineRule="exact"/>
        <w:ind w:leftChars="0"/>
        <w:rPr>
          <w:rFonts w:hint="eastAsia" w:ascii="Times New Roman" w:hAnsi="宋体" w:eastAsia="方正仿宋_GBK"/>
          <w:b/>
          <w:color w:val="000000"/>
          <w:sz w:val="28"/>
          <w:szCs w:val="28"/>
          <w:shd w:val="clear" w:color="auto" w:fill="FFFFFF"/>
        </w:rPr>
      </w:pPr>
    </w:p>
    <w:p/>
    <w:sectPr>
      <w:headerReference r:id="rId3" w:type="default"/>
      <w:footerReference r:id="rId4" w:type="default"/>
      <w:pgSz w:w="12983" w:h="18369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3121BC-D5EB-4896-8C8B-0930B6766F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62B1EB3-1504-4875-8A14-4D10A97E6FF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EF8864BB-9FD8-4A5D-804E-7ECDE8CEC8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A97D7"/>
    <w:multiLevelType w:val="singleLevel"/>
    <w:tmpl w:val="B1FA97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9D"/>
    <w:rsid w:val="000B2478"/>
    <w:rsid w:val="002A259D"/>
    <w:rsid w:val="00407A77"/>
    <w:rsid w:val="004E070F"/>
    <w:rsid w:val="004F39CA"/>
    <w:rsid w:val="005F1C10"/>
    <w:rsid w:val="006754BD"/>
    <w:rsid w:val="0067707E"/>
    <w:rsid w:val="007B5978"/>
    <w:rsid w:val="00C220EC"/>
    <w:rsid w:val="00E95479"/>
    <w:rsid w:val="00FA5EC2"/>
    <w:rsid w:val="24567263"/>
    <w:rsid w:val="28364D7C"/>
    <w:rsid w:val="2AE31CE3"/>
    <w:rsid w:val="322A344F"/>
    <w:rsid w:val="37A64110"/>
    <w:rsid w:val="468A1E60"/>
    <w:rsid w:val="4AB50D73"/>
    <w:rsid w:val="4F2C0EA8"/>
    <w:rsid w:val="500D66E2"/>
    <w:rsid w:val="553D520F"/>
    <w:rsid w:val="5E116CA5"/>
    <w:rsid w:val="69FD5121"/>
    <w:rsid w:val="7D083676"/>
    <w:rsid w:val="7F8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Table Theme"/>
    <w:qFormat/>
    <w:uiPriority w:val="0"/>
    <w:pPr>
      <w:widowControl w:val="0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2021-09-02T07:36:00Z</dcterms:created>
  <dc:creator>张莲</dc:creator>
  <cp:lastModifiedBy>晶</cp:lastModifiedBy>
  <dcterms:modified xsi:type="dcterms:W3CDTF">2021-09-08T02:24:08Z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2718B79618E54E8687DA1BD3F9067CB8</vt:lpwstr>
  </property>
</Properties>
</file>