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192B" w14:textId="77777777" w:rsidR="002A259D" w:rsidRPr="00804217" w:rsidRDefault="002A259D" w:rsidP="00ED65F3">
      <w:pPr>
        <w:widowControl/>
        <w:spacing w:line="360" w:lineRule="auto"/>
        <w:rPr>
          <w:rFonts w:ascii="Times New Roman" w:eastAsia="方正仿宋_GBK" w:hAnsi="宋体"/>
          <w:b/>
          <w:color w:val="000000"/>
          <w:sz w:val="28"/>
          <w:szCs w:val="28"/>
          <w:shd w:val="clear" w:color="auto" w:fill="FFFFFF"/>
        </w:rPr>
      </w:pPr>
      <w:r w:rsidRPr="00804217">
        <w:rPr>
          <w:rFonts w:ascii="Times New Roman" w:eastAsia="方正仿宋_GBK" w:hAnsi="宋体" w:hint="eastAsia"/>
          <w:b/>
          <w:color w:val="000000"/>
          <w:sz w:val="28"/>
          <w:szCs w:val="28"/>
          <w:shd w:val="clear" w:color="auto" w:fill="FFFFFF"/>
        </w:rPr>
        <w:t>一、成果基本信息</w:t>
      </w:r>
    </w:p>
    <w:tbl>
      <w:tblPr>
        <w:tblStyle w:val="a5"/>
        <w:tblW w:w="5263" w:type="pct"/>
        <w:jc w:val="center"/>
        <w:tblLook w:val="04A0" w:firstRow="1" w:lastRow="0" w:firstColumn="1" w:lastColumn="0" w:noHBand="0" w:noVBand="1"/>
      </w:tblPr>
      <w:tblGrid>
        <w:gridCol w:w="903"/>
        <w:gridCol w:w="1386"/>
        <w:gridCol w:w="2243"/>
        <w:gridCol w:w="1907"/>
        <w:gridCol w:w="830"/>
        <w:gridCol w:w="1106"/>
        <w:gridCol w:w="1162"/>
      </w:tblGrid>
      <w:tr w:rsidR="002A259D" w:rsidRPr="00CE59DA" w14:paraId="5ACDEC2C" w14:textId="77777777" w:rsidTr="00ED65F3">
        <w:trPr>
          <w:jc w:val="center"/>
        </w:trPr>
        <w:tc>
          <w:tcPr>
            <w:tcW w:w="473" w:type="pct"/>
            <w:vAlign w:val="center"/>
          </w:tcPr>
          <w:p w14:paraId="58D77AAF" w14:textId="77777777" w:rsidR="002A259D" w:rsidRPr="00804217" w:rsidRDefault="002A259D" w:rsidP="004845CD">
            <w:pPr>
              <w:spacing w:line="300" w:lineRule="exact"/>
              <w:jc w:val="center"/>
              <w:rPr>
                <w:rStyle w:val="a6"/>
                <w:rFonts w:ascii="Times New Roman" w:eastAsia="方正仿宋_GBK" w:hAnsi="宋体" w:cs="Tahoma"/>
                <w:color w:val="000000"/>
                <w:sz w:val="28"/>
                <w:szCs w:val="28"/>
                <w:shd w:val="clear" w:color="auto" w:fill="FFFFFF"/>
              </w:rPr>
            </w:pPr>
            <w:r w:rsidRPr="00804217">
              <w:rPr>
                <w:rStyle w:val="a6"/>
                <w:rFonts w:ascii="Times New Roman" w:eastAsia="方正仿宋_GBK" w:hAnsi="宋体" w:cs="Tahoma" w:hint="eastAsia"/>
                <w:color w:val="000000"/>
                <w:sz w:val="28"/>
                <w:szCs w:val="28"/>
                <w:shd w:val="clear" w:color="auto" w:fill="FFFFFF"/>
              </w:rPr>
              <w:t>序号</w:t>
            </w:r>
          </w:p>
        </w:tc>
        <w:tc>
          <w:tcPr>
            <w:tcW w:w="726" w:type="pct"/>
            <w:vAlign w:val="center"/>
          </w:tcPr>
          <w:p w14:paraId="5D8A7346" w14:textId="77777777" w:rsidR="002A259D" w:rsidRPr="00804217" w:rsidRDefault="002A259D" w:rsidP="004845CD">
            <w:pPr>
              <w:spacing w:line="300" w:lineRule="exact"/>
              <w:jc w:val="center"/>
              <w:rPr>
                <w:rStyle w:val="a6"/>
                <w:rFonts w:ascii="Times New Roman" w:eastAsia="方正仿宋_GBK" w:hAnsi="宋体" w:cs="Tahoma"/>
                <w:color w:val="000000"/>
                <w:sz w:val="28"/>
                <w:szCs w:val="28"/>
                <w:shd w:val="clear" w:color="auto" w:fill="FFFFFF"/>
              </w:rPr>
            </w:pPr>
            <w:r w:rsidRPr="00804217">
              <w:rPr>
                <w:rStyle w:val="a6"/>
                <w:rFonts w:ascii="Times New Roman" w:eastAsia="方正仿宋_GBK" w:hAnsi="宋体" w:cs="Tahoma" w:hint="eastAsia"/>
                <w:color w:val="000000"/>
                <w:sz w:val="28"/>
                <w:szCs w:val="28"/>
                <w:shd w:val="clear" w:color="auto" w:fill="FFFFFF"/>
              </w:rPr>
              <w:t>成果名称</w:t>
            </w:r>
          </w:p>
        </w:tc>
        <w:tc>
          <w:tcPr>
            <w:tcW w:w="1176" w:type="pct"/>
            <w:vAlign w:val="center"/>
          </w:tcPr>
          <w:p w14:paraId="23752D42" w14:textId="77777777" w:rsidR="002A259D" w:rsidRPr="00804217" w:rsidRDefault="002A259D" w:rsidP="004845CD">
            <w:pPr>
              <w:spacing w:line="300" w:lineRule="exact"/>
              <w:jc w:val="center"/>
              <w:rPr>
                <w:rStyle w:val="a6"/>
                <w:rFonts w:ascii="Times New Roman" w:eastAsia="方正仿宋_GBK" w:hAnsi="宋体" w:cs="Tahoma"/>
                <w:color w:val="000000"/>
                <w:sz w:val="28"/>
                <w:szCs w:val="28"/>
                <w:shd w:val="clear" w:color="auto" w:fill="FFFFFF"/>
              </w:rPr>
            </w:pPr>
            <w:r w:rsidRPr="00804217">
              <w:rPr>
                <w:rStyle w:val="a6"/>
                <w:rFonts w:ascii="Times New Roman" w:eastAsia="方正仿宋_GBK" w:hAnsi="宋体" w:cs="Tahoma" w:hint="eastAsia"/>
                <w:color w:val="000000"/>
                <w:sz w:val="28"/>
                <w:szCs w:val="28"/>
                <w:shd w:val="clear" w:color="auto" w:fill="FFFFFF"/>
              </w:rPr>
              <w:t>主要完成人</w:t>
            </w:r>
          </w:p>
        </w:tc>
        <w:tc>
          <w:tcPr>
            <w:tcW w:w="1000" w:type="pct"/>
            <w:vAlign w:val="center"/>
          </w:tcPr>
          <w:p w14:paraId="6155F4DF" w14:textId="77777777" w:rsidR="002A259D" w:rsidRPr="00804217" w:rsidRDefault="002A259D" w:rsidP="004845CD">
            <w:pPr>
              <w:spacing w:line="300" w:lineRule="exact"/>
              <w:jc w:val="center"/>
              <w:rPr>
                <w:rStyle w:val="a6"/>
                <w:rFonts w:ascii="Times New Roman" w:eastAsia="方正仿宋_GBK" w:hAnsi="宋体" w:cs="Tahoma"/>
                <w:color w:val="000000"/>
                <w:sz w:val="28"/>
                <w:szCs w:val="28"/>
                <w:shd w:val="clear" w:color="auto" w:fill="FFFFFF"/>
              </w:rPr>
            </w:pPr>
            <w:r w:rsidRPr="00804217">
              <w:rPr>
                <w:rStyle w:val="a6"/>
                <w:rFonts w:ascii="Times New Roman" w:eastAsia="方正仿宋_GBK" w:hAnsi="宋体" w:cs="Tahoma" w:hint="eastAsia"/>
                <w:color w:val="000000"/>
                <w:sz w:val="28"/>
                <w:szCs w:val="28"/>
                <w:shd w:val="clear" w:color="auto" w:fill="FFFFFF"/>
              </w:rPr>
              <w:t>主要完成单位</w:t>
            </w:r>
          </w:p>
        </w:tc>
        <w:tc>
          <w:tcPr>
            <w:tcW w:w="435" w:type="pct"/>
            <w:vAlign w:val="center"/>
          </w:tcPr>
          <w:p w14:paraId="399FFC2F" w14:textId="77777777" w:rsidR="002A259D" w:rsidRPr="00804217" w:rsidRDefault="002A259D" w:rsidP="004845CD">
            <w:pPr>
              <w:spacing w:line="300" w:lineRule="exact"/>
              <w:jc w:val="center"/>
              <w:rPr>
                <w:rStyle w:val="a6"/>
                <w:rFonts w:ascii="Times New Roman" w:eastAsia="方正仿宋_GBK" w:hAnsi="宋体" w:cs="Tahoma"/>
                <w:color w:val="000000"/>
                <w:sz w:val="28"/>
                <w:szCs w:val="28"/>
                <w:shd w:val="clear" w:color="auto" w:fill="FFFFFF"/>
              </w:rPr>
            </w:pPr>
            <w:r w:rsidRPr="00804217">
              <w:rPr>
                <w:rStyle w:val="a6"/>
                <w:rFonts w:ascii="Times New Roman" w:eastAsia="方正仿宋_GBK" w:hAnsi="宋体" w:cs="Tahoma" w:hint="eastAsia"/>
                <w:color w:val="000000"/>
                <w:sz w:val="28"/>
                <w:szCs w:val="28"/>
                <w:shd w:val="clear" w:color="auto" w:fill="FFFFFF"/>
              </w:rPr>
              <w:t>奖种</w:t>
            </w:r>
          </w:p>
        </w:tc>
        <w:tc>
          <w:tcPr>
            <w:tcW w:w="580" w:type="pct"/>
            <w:vAlign w:val="center"/>
          </w:tcPr>
          <w:p w14:paraId="499A6380" w14:textId="77777777" w:rsidR="002A259D" w:rsidRPr="00804217" w:rsidRDefault="002A259D" w:rsidP="004845CD">
            <w:pPr>
              <w:spacing w:line="300" w:lineRule="exact"/>
              <w:jc w:val="center"/>
              <w:rPr>
                <w:rStyle w:val="a6"/>
                <w:rFonts w:ascii="Times New Roman" w:eastAsia="方正仿宋_GBK" w:hAnsi="宋体" w:cs="Tahoma"/>
                <w:sz w:val="28"/>
                <w:szCs w:val="28"/>
              </w:rPr>
            </w:pPr>
            <w:r w:rsidRPr="00804217">
              <w:rPr>
                <w:rStyle w:val="a6"/>
                <w:rFonts w:ascii="Times New Roman" w:eastAsia="方正仿宋_GBK" w:hAnsi="宋体" w:cs="Tahoma" w:hint="eastAsia"/>
                <w:sz w:val="28"/>
                <w:szCs w:val="28"/>
              </w:rPr>
              <w:t>提名者</w:t>
            </w:r>
          </w:p>
        </w:tc>
        <w:tc>
          <w:tcPr>
            <w:tcW w:w="609" w:type="pct"/>
            <w:vAlign w:val="center"/>
          </w:tcPr>
          <w:p w14:paraId="42E809D4" w14:textId="77777777" w:rsidR="002A259D" w:rsidRPr="00804217" w:rsidRDefault="002A259D" w:rsidP="00704237">
            <w:pPr>
              <w:spacing w:line="300" w:lineRule="exact"/>
              <w:jc w:val="center"/>
              <w:rPr>
                <w:rStyle w:val="a6"/>
                <w:rFonts w:ascii="Times New Roman" w:eastAsia="方正仿宋_GBK" w:hAnsi="宋体" w:cs="Tahoma"/>
                <w:color w:val="000000"/>
                <w:sz w:val="28"/>
                <w:szCs w:val="28"/>
                <w:shd w:val="clear" w:color="auto" w:fill="FFFFFF"/>
              </w:rPr>
            </w:pPr>
            <w:r w:rsidRPr="00804217">
              <w:rPr>
                <w:rStyle w:val="a6"/>
                <w:rFonts w:ascii="Times New Roman" w:eastAsia="方正仿宋_GBK" w:hAnsi="宋体" w:cs="Tahoma" w:hint="eastAsia"/>
                <w:sz w:val="28"/>
                <w:szCs w:val="28"/>
              </w:rPr>
              <w:t>拟</w:t>
            </w:r>
            <w:r w:rsidR="00704237" w:rsidRPr="00804217">
              <w:rPr>
                <w:rStyle w:val="a6"/>
                <w:rFonts w:ascii="Times New Roman" w:eastAsia="方正仿宋_GBK" w:hAnsi="宋体" w:cs="Tahoma" w:hint="eastAsia"/>
                <w:sz w:val="28"/>
                <w:szCs w:val="28"/>
              </w:rPr>
              <w:t>提名</w:t>
            </w:r>
            <w:r w:rsidRPr="00804217">
              <w:rPr>
                <w:rStyle w:val="a6"/>
                <w:rFonts w:ascii="Times New Roman" w:eastAsia="方正仿宋_GBK" w:hAnsi="宋体" w:cs="Tahoma" w:hint="eastAsia"/>
                <w:sz w:val="28"/>
                <w:szCs w:val="28"/>
              </w:rPr>
              <w:t>等级</w:t>
            </w:r>
          </w:p>
        </w:tc>
      </w:tr>
      <w:tr w:rsidR="002A259D" w:rsidRPr="00CE59DA" w14:paraId="14D0DCDD" w14:textId="77777777" w:rsidTr="00ED65F3">
        <w:trPr>
          <w:trHeight w:val="1226"/>
          <w:jc w:val="center"/>
        </w:trPr>
        <w:tc>
          <w:tcPr>
            <w:tcW w:w="473" w:type="pct"/>
            <w:vAlign w:val="center"/>
          </w:tcPr>
          <w:p w14:paraId="28EA2BE1" w14:textId="77777777" w:rsidR="002A259D" w:rsidRPr="00ED65F3" w:rsidRDefault="002A259D" w:rsidP="00ED65F3">
            <w:pPr>
              <w:spacing w:line="300" w:lineRule="exact"/>
              <w:jc w:val="center"/>
              <w:rPr>
                <w:rFonts w:asciiTheme="minorEastAsia" w:hAnsiTheme="minorEastAsia" w:cs="Times New Roman"/>
                <w:sz w:val="24"/>
                <w:szCs w:val="24"/>
              </w:rPr>
            </w:pPr>
            <w:r w:rsidRPr="00ED65F3">
              <w:rPr>
                <w:rFonts w:asciiTheme="minorEastAsia" w:hAnsiTheme="minorEastAsia" w:cs="Tahoma"/>
                <w:color w:val="000000"/>
                <w:sz w:val="24"/>
                <w:szCs w:val="24"/>
                <w:shd w:val="clear" w:color="auto" w:fill="FFFFFF"/>
              </w:rPr>
              <w:t>1</w:t>
            </w:r>
          </w:p>
        </w:tc>
        <w:tc>
          <w:tcPr>
            <w:tcW w:w="726" w:type="pct"/>
            <w:vAlign w:val="center"/>
          </w:tcPr>
          <w:p w14:paraId="3AA20CB0" w14:textId="4D6EFAF6" w:rsidR="002A259D" w:rsidRPr="00ED65F3" w:rsidRDefault="00C84E44" w:rsidP="00797AFF">
            <w:pPr>
              <w:spacing w:line="300" w:lineRule="exact"/>
              <w:jc w:val="center"/>
              <w:rPr>
                <w:rFonts w:asciiTheme="minorEastAsia" w:hAnsiTheme="minorEastAsia" w:cs="Times New Roman"/>
                <w:sz w:val="24"/>
                <w:szCs w:val="24"/>
              </w:rPr>
            </w:pPr>
            <w:r w:rsidRPr="00ED65F3">
              <w:rPr>
                <w:rFonts w:asciiTheme="minorEastAsia" w:hAnsiTheme="minorEastAsia" w:cs="Times New Roman" w:hint="eastAsia"/>
                <w:sz w:val="24"/>
                <w:szCs w:val="24"/>
              </w:rPr>
              <w:t>节食</w:t>
            </w:r>
            <w:r w:rsidR="00797AFF">
              <w:rPr>
                <w:rFonts w:asciiTheme="minorEastAsia" w:hAnsiTheme="minorEastAsia" w:cs="Times New Roman" w:hint="eastAsia"/>
                <w:sz w:val="24"/>
                <w:szCs w:val="24"/>
              </w:rPr>
              <w:t>减重</w:t>
            </w:r>
            <w:r w:rsidRPr="00ED65F3">
              <w:rPr>
                <w:rFonts w:asciiTheme="minorEastAsia" w:hAnsiTheme="minorEastAsia" w:cs="Times New Roman" w:hint="eastAsia"/>
                <w:sz w:val="24"/>
                <w:szCs w:val="24"/>
              </w:rPr>
              <w:t>的风险</w:t>
            </w:r>
            <w:r w:rsidR="002C1AFA" w:rsidRPr="00ED65F3">
              <w:rPr>
                <w:rFonts w:asciiTheme="minorEastAsia" w:hAnsiTheme="minorEastAsia" w:cs="Times New Roman" w:hint="eastAsia"/>
                <w:sz w:val="24"/>
                <w:szCs w:val="24"/>
              </w:rPr>
              <w:t>评估</w:t>
            </w:r>
            <w:r w:rsidR="00797AFF">
              <w:rPr>
                <w:rFonts w:asciiTheme="minorEastAsia" w:hAnsiTheme="minorEastAsia" w:cs="Times New Roman" w:hint="eastAsia"/>
                <w:sz w:val="24"/>
                <w:szCs w:val="24"/>
              </w:rPr>
              <w:t>、</w:t>
            </w:r>
            <w:r w:rsidRPr="00ED65F3">
              <w:rPr>
                <w:rFonts w:asciiTheme="minorEastAsia" w:hAnsiTheme="minorEastAsia" w:cs="Times New Roman" w:hint="eastAsia"/>
                <w:sz w:val="24"/>
                <w:szCs w:val="24"/>
              </w:rPr>
              <w:t>认知神经机制</w:t>
            </w:r>
            <w:r w:rsidR="00797AFF">
              <w:rPr>
                <w:rFonts w:asciiTheme="minorEastAsia" w:hAnsiTheme="minorEastAsia" w:cs="Times New Roman" w:hint="eastAsia"/>
                <w:sz w:val="24"/>
                <w:szCs w:val="24"/>
              </w:rPr>
              <w:t>及</w:t>
            </w:r>
            <w:r w:rsidR="00797AFF">
              <w:rPr>
                <w:rFonts w:asciiTheme="minorEastAsia" w:hAnsiTheme="minorEastAsia" w:cs="Times New Roman"/>
                <w:sz w:val="24"/>
                <w:szCs w:val="24"/>
              </w:rPr>
              <w:t>干预</w:t>
            </w:r>
          </w:p>
        </w:tc>
        <w:tc>
          <w:tcPr>
            <w:tcW w:w="1176" w:type="pct"/>
            <w:vAlign w:val="center"/>
          </w:tcPr>
          <w:p w14:paraId="75CD8D62" w14:textId="0BA8B0AA" w:rsidR="00B04353" w:rsidRPr="00ED65F3" w:rsidRDefault="00EB13DA" w:rsidP="00ED65F3">
            <w:pPr>
              <w:spacing w:line="300" w:lineRule="exact"/>
              <w:jc w:val="center"/>
              <w:rPr>
                <w:rFonts w:asciiTheme="minorEastAsia" w:hAnsiTheme="minorEastAsia" w:cs="Times New Roman"/>
                <w:sz w:val="24"/>
                <w:szCs w:val="24"/>
              </w:rPr>
            </w:pPr>
            <w:r w:rsidRPr="00ED65F3">
              <w:rPr>
                <w:rFonts w:asciiTheme="minorEastAsia" w:hAnsiTheme="minorEastAsia" w:cs="Times New Roman" w:hint="eastAsia"/>
                <w:sz w:val="24"/>
                <w:szCs w:val="24"/>
              </w:rPr>
              <w:t>陈红</w:t>
            </w:r>
            <w:r w:rsidR="002C1AFA" w:rsidRPr="00ED65F3">
              <w:rPr>
                <w:rFonts w:asciiTheme="minorEastAsia" w:hAnsiTheme="minorEastAsia" w:cs="Times New Roman" w:hint="eastAsia"/>
                <w:sz w:val="24"/>
                <w:szCs w:val="24"/>
              </w:rPr>
              <w:t>、T</w:t>
            </w:r>
            <w:r w:rsidR="002C1AFA" w:rsidRPr="00ED65F3">
              <w:rPr>
                <w:rFonts w:asciiTheme="minorEastAsia" w:hAnsiTheme="minorEastAsia" w:cs="Times New Roman"/>
                <w:sz w:val="24"/>
                <w:szCs w:val="24"/>
              </w:rPr>
              <w:t>odd Jackson</w:t>
            </w:r>
            <w:r w:rsidR="002C1AFA" w:rsidRPr="00ED65F3">
              <w:rPr>
                <w:rFonts w:asciiTheme="minorEastAsia" w:hAnsiTheme="minorEastAsia" w:cs="Times New Roman" w:hint="eastAsia"/>
                <w:sz w:val="24"/>
                <w:szCs w:val="24"/>
              </w:rPr>
              <w:t>、高笑</w:t>
            </w:r>
            <w:r w:rsidR="002C1AFA" w:rsidRPr="00ED65F3">
              <w:rPr>
                <w:rFonts w:asciiTheme="minorEastAsia" w:hAnsiTheme="minorEastAsia" w:cs="Times New Roman"/>
                <w:sz w:val="24"/>
                <w:szCs w:val="24"/>
              </w:rPr>
              <w:t>、</w:t>
            </w:r>
            <w:r w:rsidR="002C1AFA" w:rsidRPr="00ED65F3">
              <w:rPr>
                <w:rFonts w:asciiTheme="minorEastAsia" w:hAnsiTheme="minorEastAsia" w:cs="Times New Roman" w:hint="eastAsia"/>
                <w:sz w:val="24"/>
                <w:szCs w:val="24"/>
              </w:rPr>
              <w:t>郭</w:t>
            </w:r>
            <w:r w:rsidR="002C1AFA" w:rsidRPr="00ED65F3">
              <w:rPr>
                <w:rFonts w:asciiTheme="minorEastAsia" w:hAnsiTheme="minorEastAsia" w:cs="Times New Roman"/>
                <w:sz w:val="24"/>
                <w:szCs w:val="24"/>
              </w:rPr>
              <w:t>成</w:t>
            </w:r>
          </w:p>
        </w:tc>
        <w:tc>
          <w:tcPr>
            <w:tcW w:w="1000" w:type="pct"/>
            <w:vAlign w:val="center"/>
          </w:tcPr>
          <w:p w14:paraId="69B5D372" w14:textId="77777777" w:rsidR="002A259D" w:rsidRPr="00ED65F3" w:rsidRDefault="00B04353" w:rsidP="00ED65F3">
            <w:pPr>
              <w:spacing w:line="300" w:lineRule="exact"/>
              <w:jc w:val="center"/>
              <w:rPr>
                <w:rFonts w:asciiTheme="minorEastAsia" w:hAnsiTheme="minorEastAsia" w:cs="Times New Roman"/>
                <w:sz w:val="24"/>
                <w:szCs w:val="24"/>
              </w:rPr>
            </w:pPr>
            <w:r w:rsidRPr="00ED65F3">
              <w:rPr>
                <w:rFonts w:asciiTheme="minorEastAsia" w:hAnsiTheme="minorEastAsia" w:cs="Times New Roman" w:hint="eastAsia"/>
                <w:sz w:val="24"/>
                <w:szCs w:val="24"/>
              </w:rPr>
              <w:t>西南大学</w:t>
            </w:r>
          </w:p>
        </w:tc>
        <w:tc>
          <w:tcPr>
            <w:tcW w:w="435" w:type="pct"/>
            <w:vAlign w:val="center"/>
          </w:tcPr>
          <w:p w14:paraId="7F7DBD83" w14:textId="77777777" w:rsidR="002A259D" w:rsidRPr="00ED65F3" w:rsidRDefault="00704237" w:rsidP="00ED65F3">
            <w:pPr>
              <w:spacing w:line="300" w:lineRule="exact"/>
              <w:jc w:val="center"/>
              <w:rPr>
                <w:rFonts w:asciiTheme="minorEastAsia" w:hAnsiTheme="minorEastAsia" w:cs="Times New Roman"/>
                <w:sz w:val="24"/>
                <w:szCs w:val="24"/>
              </w:rPr>
            </w:pPr>
            <w:r w:rsidRPr="00ED65F3">
              <w:rPr>
                <w:rFonts w:asciiTheme="minorEastAsia" w:hAnsiTheme="minorEastAsia" w:hint="eastAsia"/>
                <w:color w:val="000000"/>
                <w:sz w:val="24"/>
                <w:szCs w:val="24"/>
                <w:shd w:val="clear" w:color="auto" w:fill="FFFFFF"/>
              </w:rPr>
              <w:t>自然科学奖</w:t>
            </w:r>
          </w:p>
        </w:tc>
        <w:tc>
          <w:tcPr>
            <w:tcW w:w="580" w:type="pct"/>
            <w:vAlign w:val="center"/>
          </w:tcPr>
          <w:p w14:paraId="15DC4985" w14:textId="77777777" w:rsidR="002A259D" w:rsidRPr="00ED65F3" w:rsidRDefault="002A259D" w:rsidP="00ED65F3">
            <w:pPr>
              <w:spacing w:line="300" w:lineRule="exact"/>
              <w:jc w:val="center"/>
              <w:rPr>
                <w:rFonts w:asciiTheme="minorEastAsia" w:hAnsiTheme="minorEastAsia"/>
                <w:color w:val="000000"/>
                <w:sz w:val="24"/>
                <w:szCs w:val="24"/>
                <w:shd w:val="clear" w:color="auto" w:fill="FFFFFF"/>
              </w:rPr>
            </w:pPr>
            <w:r w:rsidRPr="00ED65F3">
              <w:rPr>
                <w:rFonts w:asciiTheme="minorEastAsia" w:hAnsiTheme="minorEastAsia" w:hint="eastAsia"/>
                <w:color w:val="000000"/>
                <w:sz w:val="24"/>
                <w:szCs w:val="24"/>
                <w:shd w:val="clear" w:color="auto" w:fill="FFFFFF"/>
              </w:rPr>
              <w:t>重庆市教育委员会</w:t>
            </w:r>
          </w:p>
        </w:tc>
        <w:tc>
          <w:tcPr>
            <w:tcW w:w="609" w:type="pct"/>
            <w:vAlign w:val="center"/>
          </w:tcPr>
          <w:p w14:paraId="3EFD41C4" w14:textId="328DBE5C" w:rsidR="002A259D" w:rsidRPr="00ED65F3" w:rsidRDefault="00C84E44" w:rsidP="00ED65F3">
            <w:pPr>
              <w:spacing w:line="300" w:lineRule="exact"/>
              <w:jc w:val="center"/>
              <w:rPr>
                <w:rFonts w:asciiTheme="minorEastAsia" w:hAnsiTheme="minorEastAsia" w:cs="Times New Roman"/>
                <w:sz w:val="24"/>
                <w:szCs w:val="24"/>
              </w:rPr>
            </w:pPr>
            <w:r w:rsidRPr="00ED65F3">
              <w:rPr>
                <w:rFonts w:asciiTheme="minorEastAsia" w:hAnsiTheme="minorEastAsia" w:cs="Times New Roman" w:hint="eastAsia"/>
                <w:sz w:val="24"/>
                <w:szCs w:val="24"/>
              </w:rPr>
              <w:t>二等奖</w:t>
            </w:r>
          </w:p>
        </w:tc>
      </w:tr>
    </w:tbl>
    <w:p w14:paraId="2BB5C9E7" w14:textId="77777777" w:rsidR="002A259D" w:rsidRPr="00CE59DA" w:rsidRDefault="002A259D" w:rsidP="002A259D">
      <w:pPr>
        <w:widowControl/>
        <w:jc w:val="left"/>
        <w:rPr>
          <w:rFonts w:ascii="Times New Roman" w:eastAsia="方正仿宋_GBK" w:hAnsi="Times New Roman"/>
          <w:sz w:val="24"/>
          <w:szCs w:val="32"/>
        </w:rPr>
      </w:pPr>
    </w:p>
    <w:p w14:paraId="780F5E8F" w14:textId="77777777" w:rsidR="002A259D" w:rsidRPr="00804217" w:rsidRDefault="002A259D" w:rsidP="00ED65F3">
      <w:pPr>
        <w:widowControl/>
        <w:spacing w:line="360" w:lineRule="auto"/>
        <w:rPr>
          <w:rFonts w:ascii="Times New Roman" w:eastAsia="方正仿宋_GBK" w:hAnsi="宋体"/>
          <w:b/>
          <w:color w:val="000000"/>
          <w:sz w:val="28"/>
          <w:szCs w:val="28"/>
          <w:shd w:val="clear" w:color="auto" w:fill="FFFFFF"/>
        </w:rPr>
      </w:pPr>
      <w:r w:rsidRPr="00804217">
        <w:rPr>
          <w:rFonts w:ascii="Times New Roman" w:eastAsia="方正仿宋_GBK" w:hAnsi="宋体" w:hint="eastAsia"/>
          <w:b/>
          <w:color w:val="000000"/>
          <w:sz w:val="28"/>
          <w:szCs w:val="28"/>
          <w:shd w:val="clear" w:color="auto" w:fill="FFFFFF"/>
        </w:rPr>
        <w:t>二、项目简介</w:t>
      </w:r>
    </w:p>
    <w:p w14:paraId="4D2F4C41" w14:textId="2649F7EB" w:rsidR="004C4C0F" w:rsidRPr="004C4C0F" w:rsidRDefault="004C4C0F" w:rsidP="004C4C0F">
      <w:pPr>
        <w:adjustRightInd w:val="0"/>
        <w:snapToGrid w:val="0"/>
        <w:spacing w:line="360" w:lineRule="exact"/>
        <w:ind w:firstLine="420"/>
        <w:rPr>
          <w:rFonts w:ascii="Times New Roman" w:eastAsia="新宋体" w:hAnsi="Times New Roman" w:cs="Times New Roman"/>
          <w:sz w:val="24"/>
          <w:szCs w:val="24"/>
        </w:rPr>
      </w:pPr>
      <w:r w:rsidRPr="004C4C0F">
        <w:rPr>
          <w:rFonts w:ascii="Times New Roman" w:eastAsia="新宋体" w:hAnsi="Times New Roman" w:cs="Times New Roman" w:hint="eastAsia"/>
          <w:sz w:val="24"/>
          <w:szCs w:val="24"/>
        </w:rPr>
        <w:t>为解决“如何让国人身体更健美”的心理学问题，候选人团队围绕节食减重的风险评估、认知神经机制及干预取得了一系列重要的创新性成果，主要创新内容：评估饮食失调的风险因素及不同性别模型、节食者静息态脑活动对未来体重的预测、非侵入性经颅直流电刺激技术和认知训练对减重的干预。</w:t>
      </w:r>
      <w:r w:rsidR="00FE0D04">
        <w:rPr>
          <w:rFonts w:ascii="Times New Roman" w:eastAsia="新宋体" w:hAnsi="Times New Roman" w:cs="Times New Roman" w:hint="eastAsia"/>
          <w:sz w:val="24"/>
          <w:szCs w:val="24"/>
        </w:rPr>
        <w:t>主要</w:t>
      </w:r>
      <w:r w:rsidRPr="004C4C0F">
        <w:rPr>
          <w:rFonts w:ascii="Times New Roman" w:eastAsia="新宋体" w:hAnsi="Times New Roman" w:cs="Times New Roman" w:hint="eastAsia"/>
          <w:sz w:val="24"/>
          <w:szCs w:val="24"/>
        </w:rPr>
        <w:t>科学发现如下：</w:t>
      </w:r>
    </w:p>
    <w:p w14:paraId="2A8D43CA" w14:textId="0EA4EEE6" w:rsidR="004C4C0F" w:rsidRPr="004C4C0F" w:rsidRDefault="003E731D" w:rsidP="004C4C0F">
      <w:pPr>
        <w:adjustRightInd w:val="0"/>
        <w:snapToGrid w:val="0"/>
        <w:spacing w:line="360" w:lineRule="exact"/>
        <w:ind w:firstLine="420"/>
        <w:rPr>
          <w:rFonts w:ascii="Times New Roman" w:eastAsia="新宋体" w:hAnsi="Times New Roman" w:cs="Times New Roman"/>
          <w:sz w:val="24"/>
          <w:szCs w:val="24"/>
        </w:rPr>
      </w:pPr>
      <w:r>
        <w:rPr>
          <w:rFonts w:ascii="Times New Roman" w:eastAsia="新宋体" w:hAnsi="Times New Roman" w:cs="Times New Roman" w:hint="eastAsia"/>
          <w:sz w:val="24"/>
          <w:szCs w:val="24"/>
        </w:rPr>
        <w:t>一、</w:t>
      </w:r>
      <w:r w:rsidR="004C4C0F" w:rsidRPr="004C4C0F">
        <w:rPr>
          <w:rFonts w:ascii="Times New Roman" w:eastAsia="新宋体" w:hAnsi="Times New Roman" w:cs="Times New Roman" w:hint="eastAsia"/>
          <w:sz w:val="24"/>
          <w:szCs w:val="24"/>
        </w:rPr>
        <w:t>确证饮食失调产生的风险因素。大样本纵向追踪研究揭示中国文化视角下，风险因素如</w:t>
      </w:r>
      <w:r w:rsidR="004C4C0F" w:rsidRPr="004C4C0F">
        <w:rPr>
          <w:rFonts w:ascii="Times New Roman" w:eastAsia="新宋体" w:hAnsi="Times New Roman" w:cs="Times New Roman" w:hint="eastAsia"/>
          <w:sz w:val="24"/>
          <w:szCs w:val="24"/>
        </w:rPr>
        <w:t>BMI</w:t>
      </w:r>
      <w:r w:rsidR="004C4C0F" w:rsidRPr="004C4C0F">
        <w:rPr>
          <w:rFonts w:ascii="Times New Roman" w:eastAsia="新宋体" w:hAnsi="Times New Roman" w:cs="Times New Roman" w:hint="eastAsia"/>
          <w:sz w:val="24"/>
          <w:szCs w:val="24"/>
        </w:rPr>
        <w:t>、社会压力、瘦理想内化等对青少年饮食失调预测作用。</w:t>
      </w:r>
    </w:p>
    <w:p w14:paraId="086E5EA0" w14:textId="1107E602" w:rsidR="004C4C0F" w:rsidRPr="004C4C0F" w:rsidRDefault="003E731D" w:rsidP="004C4C0F">
      <w:pPr>
        <w:adjustRightInd w:val="0"/>
        <w:snapToGrid w:val="0"/>
        <w:spacing w:line="360" w:lineRule="exact"/>
        <w:ind w:firstLine="420"/>
        <w:rPr>
          <w:rFonts w:ascii="Times New Roman" w:eastAsia="新宋体" w:hAnsi="Times New Roman" w:cs="Times New Roman"/>
          <w:sz w:val="24"/>
          <w:szCs w:val="24"/>
        </w:rPr>
      </w:pPr>
      <w:r>
        <w:rPr>
          <w:rFonts w:ascii="Times New Roman" w:eastAsia="新宋体" w:hAnsi="Times New Roman" w:cs="Times New Roman" w:hint="eastAsia"/>
          <w:sz w:val="24"/>
          <w:szCs w:val="24"/>
        </w:rPr>
        <w:t>二、</w:t>
      </w:r>
      <w:r w:rsidR="004C4C0F" w:rsidRPr="004C4C0F">
        <w:rPr>
          <w:rFonts w:ascii="Times New Roman" w:eastAsia="新宋体" w:hAnsi="Times New Roman" w:cs="Times New Roman" w:hint="eastAsia"/>
          <w:sz w:val="24"/>
          <w:szCs w:val="24"/>
        </w:rPr>
        <w:t>建立评估饮食失调风险的性别模型。通过大型队列研究构建了风险因素对饮食失调预测的性别模式。女性的身体不满意和外貌压力可以预测未来</w:t>
      </w:r>
      <w:r w:rsidR="004C4C0F" w:rsidRPr="004C4C0F">
        <w:rPr>
          <w:rFonts w:ascii="Times New Roman" w:eastAsia="新宋体" w:hAnsi="Times New Roman" w:cs="Times New Roman" w:hint="eastAsia"/>
          <w:sz w:val="24"/>
          <w:szCs w:val="24"/>
        </w:rPr>
        <w:t>2</w:t>
      </w:r>
      <w:r w:rsidR="004C4C0F" w:rsidRPr="004C4C0F">
        <w:rPr>
          <w:rFonts w:ascii="Times New Roman" w:eastAsia="新宋体" w:hAnsi="Times New Roman" w:cs="Times New Roman" w:hint="eastAsia"/>
          <w:sz w:val="24"/>
          <w:szCs w:val="24"/>
        </w:rPr>
        <w:t>年饮食失调，预测解释率</w:t>
      </w:r>
      <w:r w:rsidR="004C4C0F" w:rsidRPr="004C4C0F">
        <w:rPr>
          <w:rFonts w:ascii="Times New Roman" w:eastAsia="新宋体" w:hAnsi="Times New Roman" w:cs="Times New Roman" w:hint="eastAsia"/>
          <w:sz w:val="24"/>
          <w:szCs w:val="24"/>
        </w:rPr>
        <w:t>54.3%</w:t>
      </w:r>
      <w:r w:rsidR="004C4C0F" w:rsidRPr="004C4C0F">
        <w:rPr>
          <w:rFonts w:ascii="Times New Roman" w:eastAsia="新宋体" w:hAnsi="Times New Roman" w:cs="Times New Roman" w:hint="eastAsia"/>
          <w:sz w:val="24"/>
          <w:szCs w:val="24"/>
        </w:rPr>
        <w:t>。男性的负性情感、身体不满意和下行社会比较可以预测未来</w:t>
      </w:r>
      <w:r w:rsidR="004C4C0F" w:rsidRPr="004C4C0F">
        <w:rPr>
          <w:rFonts w:ascii="Times New Roman" w:eastAsia="新宋体" w:hAnsi="Times New Roman" w:cs="Times New Roman" w:hint="eastAsia"/>
          <w:sz w:val="24"/>
          <w:szCs w:val="24"/>
        </w:rPr>
        <w:t>2</w:t>
      </w:r>
      <w:r w:rsidR="004C4C0F" w:rsidRPr="004C4C0F">
        <w:rPr>
          <w:rFonts w:ascii="Times New Roman" w:eastAsia="新宋体" w:hAnsi="Times New Roman" w:cs="Times New Roman" w:hint="eastAsia"/>
          <w:sz w:val="24"/>
          <w:szCs w:val="24"/>
        </w:rPr>
        <w:t>年后饮食失调，预测解释率</w:t>
      </w:r>
      <w:r w:rsidR="004C4C0F" w:rsidRPr="004C4C0F">
        <w:rPr>
          <w:rFonts w:ascii="Times New Roman" w:eastAsia="新宋体" w:hAnsi="Times New Roman" w:cs="Times New Roman" w:hint="eastAsia"/>
          <w:sz w:val="24"/>
          <w:szCs w:val="24"/>
        </w:rPr>
        <w:t>48%</w:t>
      </w:r>
      <w:r w:rsidR="004C4C0F" w:rsidRPr="004C4C0F">
        <w:rPr>
          <w:rFonts w:ascii="Times New Roman" w:eastAsia="新宋体" w:hAnsi="Times New Roman" w:cs="Times New Roman" w:hint="eastAsia"/>
          <w:sz w:val="24"/>
          <w:szCs w:val="24"/>
        </w:rPr>
        <w:t>。</w:t>
      </w:r>
    </w:p>
    <w:p w14:paraId="0D30C31F" w14:textId="485CFBD5" w:rsidR="004C4C0F" w:rsidRPr="004C4C0F" w:rsidRDefault="003E731D" w:rsidP="004C4C0F">
      <w:pPr>
        <w:adjustRightInd w:val="0"/>
        <w:snapToGrid w:val="0"/>
        <w:spacing w:line="360" w:lineRule="exact"/>
        <w:ind w:firstLine="420"/>
        <w:rPr>
          <w:rFonts w:ascii="Times New Roman" w:eastAsia="新宋体" w:hAnsi="Times New Roman" w:cs="Times New Roman"/>
          <w:sz w:val="24"/>
          <w:szCs w:val="24"/>
        </w:rPr>
      </w:pPr>
      <w:r>
        <w:rPr>
          <w:rFonts w:ascii="Times New Roman" w:eastAsia="新宋体" w:hAnsi="Times New Roman" w:cs="Times New Roman" w:hint="eastAsia"/>
          <w:sz w:val="24"/>
          <w:szCs w:val="24"/>
        </w:rPr>
        <w:t>三、</w:t>
      </w:r>
      <w:r w:rsidR="004C4C0F" w:rsidRPr="004C4C0F">
        <w:rPr>
          <w:rFonts w:ascii="Times New Roman" w:eastAsia="新宋体" w:hAnsi="Times New Roman" w:cs="Times New Roman" w:hint="eastAsia"/>
          <w:sz w:val="24"/>
          <w:szCs w:val="24"/>
        </w:rPr>
        <w:t>发现节食者静息态自发脑活动对体重的预测。在食物剥夺条件下，限制性饮食者眶额皮层和腹内侧前额叶区域局部自发活动强度增加；抑制控制有关的背外侧前额叶皮层局部自发活动强度减弱可预测一年后的体重变化。</w:t>
      </w:r>
    </w:p>
    <w:p w14:paraId="22BA2912" w14:textId="2E9EBF6D" w:rsidR="004C4C0F" w:rsidRPr="004C4C0F" w:rsidRDefault="003E731D" w:rsidP="004C4C0F">
      <w:pPr>
        <w:adjustRightInd w:val="0"/>
        <w:snapToGrid w:val="0"/>
        <w:spacing w:line="360" w:lineRule="exact"/>
        <w:ind w:firstLine="420"/>
        <w:rPr>
          <w:rFonts w:ascii="Times New Roman" w:eastAsia="新宋体" w:hAnsi="Times New Roman" w:cs="Times New Roman"/>
          <w:sz w:val="24"/>
          <w:szCs w:val="24"/>
        </w:rPr>
      </w:pPr>
      <w:r>
        <w:rPr>
          <w:rFonts w:ascii="Times New Roman" w:eastAsia="新宋体" w:hAnsi="Times New Roman" w:cs="Times New Roman" w:hint="eastAsia"/>
          <w:sz w:val="24"/>
          <w:szCs w:val="24"/>
        </w:rPr>
        <w:t>四、</w:t>
      </w:r>
      <w:r w:rsidR="004C4C0F" w:rsidRPr="004C4C0F">
        <w:rPr>
          <w:rFonts w:ascii="Times New Roman" w:eastAsia="新宋体" w:hAnsi="Times New Roman" w:cs="Times New Roman" w:hint="eastAsia"/>
          <w:sz w:val="24"/>
          <w:szCs w:val="24"/>
        </w:rPr>
        <w:t>率先发现超重</w:t>
      </w:r>
      <w:r w:rsidR="004C4C0F" w:rsidRPr="004C4C0F">
        <w:rPr>
          <w:rFonts w:ascii="Times New Roman" w:eastAsia="新宋体" w:hAnsi="Times New Roman" w:cs="Times New Roman" w:hint="eastAsia"/>
          <w:sz w:val="24"/>
          <w:szCs w:val="24"/>
        </w:rPr>
        <w:t>/</w:t>
      </w:r>
      <w:r w:rsidR="004C4C0F" w:rsidRPr="004C4C0F">
        <w:rPr>
          <w:rFonts w:ascii="Times New Roman" w:eastAsia="新宋体" w:hAnsi="Times New Roman" w:cs="Times New Roman" w:hint="eastAsia"/>
          <w:sz w:val="24"/>
          <w:szCs w:val="24"/>
        </w:rPr>
        <w:t>肥胖女性大脑对运动态度更消极的神经证据。相比静坐情景，超重和肥胖女性在体育运动视觉描述情境下，奖赏脑区</w:t>
      </w:r>
      <w:r w:rsidR="004C4C0F" w:rsidRPr="004C4C0F">
        <w:rPr>
          <w:rFonts w:ascii="Times New Roman" w:eastAsia="新宋体" w:hAnsi="Times New Roman" w:cs="Times New Roman" w:hint="eastAsia"/>
          <w:sz w:val="24"/>
          <w:szCs w:val="24"/>
        </w:rPr>
        <w:t>(</w:t>
      </w:r>
      <w:r w:rsidR="004C4C0F" w:rsidRPr="004C4C0F">
        <w:rPr>
          <w:rFonts w:ascii="Times New Roman" w:eastAsia="新宋体" w:hAnsi="Times New Roman" w:cs="Times New Roman" w:hint="eastAsia"/>
          <w:sz w:val="24"/>
          <w:szCs w:val="24"/>
        </w:rPr>
        <w:t>壳核</w:t>
      </w:r>
      <w:r w:rsidR="004C4C0F" w:rsidRPr="004C4C0F">
        <w:rPr>
          <w:rFonts w:ascii="Times New Roman" w:eastAsia="新宋体" w:hAnsi="Times New Roman" w:cs="Times New Roman" w:hint="eastAsia"/>
          <w:sz w:val="24"/>
          <w:szCs w:val="24"/>
        </w:rPr>
        <w:t>)</w:t>
      </w:r>
      <w:r w:rsidR="004C4C0F" w:rsidRPr="004C4C0F">
        <w:rPr>
          <w:rFonts w:ascii="Times New Roman" w:eastAsia="新宋体" w:hAnsi="Times New Roman" w:cs="Times New Roman" w:hint="eastAsia"/>
          <w:sz w:val="24"/>
          <w:szCs w:val="24"/>
        </w:rPr>
        <w:t>激活降低，与运动相关的负面情绪脑区</w:t>
      </w:r>
      <w:r w:rsidR="004C4C0F" w:rsidRPr="004C4C0F">
        <w:rPr>
          <w:rFonts w:ascii="Times New Roman" w:eastAsia="新宋体" w:hAnsi="Times New Roman" w:cs="Times New Roman" w:hint="eastAsia"/>
          <w:sz w:val="24"/>
          <w:szCs w:val="24"/>
        </w:rPr>
        <w:t>(</w:t>
      </w:r>
      <w:r w:rsidR="004C4C0F" w:rsidRPr="004C4C0F">
        <w:rPr>
          <w:rFonts w:ascii="Times New Roman" w:eastAsia="新宋体" w:hAnsi="Times New Roman" w:cs="Times New Roman" w:hint="eastAsia"/>
          <w:sz w:val="24"/>
          <w:szCs w:val="24"/>
        </w:rPr>
        <w:t>右侧额叶内侧回</w:t>
      </w:r>
      <w:r w:rsidR="004C4C0F" w:rsidRPr="004C4C0F">
        <w:rPr>
          <w:rFonts w:ascii="Times New Roman" w:eastAsia="新宋体" w:hAnsi="Times New Roman" w:cs="Times New Roman" w:hint="eastAsia"/>
          <w:sz w:val="24"/>
          <w:szCs w:val="24"/>
        </w:rPr>
        <w:t>)</w:t>
      </w:r>
      <w:r w:rsidR="004C4C0F" w:rsidRPr="004C4C0F">
        <w:rPr>
          <w:rFonts w:ascii="Times New Roman" w:eastAsia="新宋体" w:hAnsi="Times New Roman" w:cs="Times New Roman" w:hint="eastAsia"/>
          <w:sz w:val="24"/>
          <w:szCs w:val="24"/>
        </w:rPr>
        <w:t>激活增加。</w:t>
      </w:r>
    </w:p>
    <w:p w14:paraId="5AC662D7" w14:textId="68F45241" w:rsidR="004C4C0F" w:rsidRPr="004C4C0F" w:rsidRDefault="003E731D" w:rsidP="004C4C0F">
      <w:pPr>
        <w:adjustRightInd w:val="0"/>
        <w:snapToGrid w:val="0"/>
        <w:spacing w:line="360" w:lineRule="exact"/>
        <w:ind w:firstLine="420"/>
        <w:rPr>
          <w:rFonts w:ascii="Times New Roman" w:eastAsia="新宋体" w:hAnsi="Times New Roman" w:cs="Times New Roman"/>
          <w:sz w:val="24"/>
          <w:szCs w:val="24"/>
        </w:rPr>
      </w:pPr>
      <w:r>
        <w:rPr>
          <w:rFonts w:ascii="Times New Roman" w:eastAsia="新宋体" w:hAnsi="Times New Roman" w:cs="Times New Roman" w:hint="eastAsia"/>
          <w:sz w:val="24"/>
          <w:szCs w:val="24"/>
        </w:rPr>
        <w:t>五、</w:t>
      </w:r>
      <w:r w:rsidR="004C4C0F" w:rsidRPr="004C4C0F">
        <w:rPr>
          <w:rFonts w:ascii="Times New Roman" w:eastAsia="新宋体" w:hAnsi="Times New Roman" w:cs="Times New Roman" w:hint="eastAsia"/>
          <w:sz w:val="24"/>
          <w:szCs w:val="24"/>
        </w:rPr>
        <w:t>研制节食</w:t>
      </w:r>
      <w:r>
        <w:rPr>
          <w:rFonts w:ascii="Times New Roman" w:eastAsia="新宋体" w:hAnsi="Times New Roman" w:cs="Times New Roman" w:hint="eastAsia"/>
          <w:sz w:val="24"/>
          <w:szCs w:val="24"/>
        </w:rPr>
        <w:t>失败</w:t>
      </w:r>
      <w:r w:rsidR="004C4C0F" w:rsidRPr="004C4C0F">
        <w:rPr>
          <w:rFonts w:ascii="Times New Roman" w:eastAsia="新宋体" w:hAnsi="Times New Roman" w:cs="Times New Roman" w:hint="eastAsia"/>
          <w:sz w:val="24"/>
          <w:szCs w:val="24"/>
        </w:rPr>
        <w:t>干预策略。非侵入性经颅直流电刺激可以有效增强节食者的控制能力，控制其冲动性进食，提高节食成功率。认知训练可以显著改善个体的不健康饮食行为。</w:t>
      </w:r>
    </w:p>
    <w:p w14:paraId="07CAC101" w14:textId="4826C312" w:rsidR="004C4C0F" w:rsidRPr="004C4C0F" w:rsidRDefault="004C4C0F" w:rsidP="004C4C0F">
      <w:pPr>
        <w:adjustRightInd w:val="0"/>
        <w:snapToGrid w:val="0"/>
        <w:spacing w:line="360" w:lineRule="exact"/>
        <w:ind w:firstLine="420"/>
        <w:rPr>
          <w:rFonts w:ascii="Times New Roman" w:eastAsia="新宋体" w:hAnsi="Times New Roman" w:cs="Times New Roman"/>
          <w:sz w:val="24"/>
          <w:szCs w:val="24"/>
        </w:rPr>
      </w:pPr>
      <w:r w:rsidRPr="004C4C0F">
        <w:rPr>
          <w:rFonts w:ascii="Times New Roman" w:eastAsia="新宋体" w:hAnsi="Times New Roman" w:cs="Times New Roman" w:hint="eastAsia"/>
          <w:sz w:val="24"/>
          <w:szCs w:val="24"/>
        </w:rPr>
        <w:t>候选人团队聚焦“健康中国行动计划”、“中国脑计划”国家</w:t>
      </w:r>
      <w:r w:rsidR="001E42A8">
        <w:rPr>
          <w:rFonts w:ascii="Times New Roman" w:eastAsia="新宋体" w:hAnsi="Times New Roman" w:cs="Times New Roman" w:hint="eastAsia"/>
          <w:sz w:val="24"/>
          <w:szCs w:val="24"/>
        </w:rPr>
        <w:t>重大</w:t>
      </w:r>
      <w:r w:rsidRPr="004C4C0F">
        <w:rPr>
          <w:rFonts w:ascii="Times New Roman" w:eastAsia="新宋体" w:hAnsi="Times New Roman" w:cs="Times New Roman" w:hint="eastAsia"/>
          <w:sz w:val="24"/>
          <w:szCs w:val="24"/>
        </w:rPr>
        <w:t>需求，围绕“问题—风险因素—作用机制—干预”思路开展系统研究。致力于甄别超重</w:t>
      </w:r>
      <w:r w:rsidRPr="004C4C0F">
        <w:rPr>
          <w:rFonts w:ascii="Times New Roman" w:eastAsia="新宋体" w:hAnsi="Times New Roman" w:cs="Times New Roman" w:hint="eastAsia"/>
          <w:sz w:val="24"/>
          <w:szCs w:val="24"/>
        </w:rPr>
        <w:t>/</w:t>
      </w:r>
      <w:r w:rsidRPr="004C4C0F">
        <w:rPr>
          <w:rFonts w:ascii="Times New Roman" w:eastAsia="新宋体" w:hAnsi="Times New Roman" w:cs="Times New Roman" w:hint="eastAsia"/>
          <w:sz w:val="24"/>
          <w:szCs w:val="24"/>
        </w:rPr>
        <w:t>肥胖的易感人群，为预防和控制超重</w:t>
      </w:r>
      <w:r w:rsidRPr="004C4C0F">
        <w:rPr>
          <w:rFonts w:ascii="Times New Roman" w:eastAsia="新宋体" w:hAnsi="Times New Roman" w:cs="Times New Roman" w:hint="eastAsia"/>
          <w:sz w:val="24"/>
          <w:szCs w:val="24"/>
        </w:rPr>
        <w:t>/</w:t>
      </w:r>
      <w:r w:rsidRPr="004C4C0F">
        <w:rPr>
          <w:rFonts w:ascii="Times New Roman" w:eastAsia="新宋体" w:hAnsi="Times New Roman" w:cs="Times New Roman" w:hint="eastAsia"/>
          <w:sz w:val="24"/>
          <w:szCs w:val="24"/>
        </w:rPr>
        <w:t>肥胖提供理论基础和应用技术。该项目从行为、生理和心理等多元视角，建立了风险因素</w:t>
      </w:r>
      <w:r w:rsidRPr="004C4C0F">
        <w:rPr>
          <w:rFonts w:ascii="Times New Roman" w:eastAsia="新宋体" w:hAnsi="Times New Roman" w:cs="Times New Roman" w:hint="eastAsia"/>
          <w:sz w:val="24"/>
          <w:szCs w:val="24"/>
        </w:rPr>
        <w:t>-</w:t>
      </w:r>
      <w:r w:rsidRPr="004C4C0F">
        <w:rPr>
          <w:rFonts w:ascii="Times New Roman" w:eastAsia="新宋体" w:hAnsi="Times New Roman" w:cs="Times New Roman" w:hint="eastAsia"/>
          <w:sz w:val="24"/>
          <w:szCs w:val="24"/>
        </w:rPr>
        <w:t>认知神经机制</w:t>
      </w:r>
      <w:r w:rsidRPr="004C4C0F">
        <w:rPr>
          <w:rFonts w:ascii="Times New Roman" w:eastAsia="新宋体" w:hAnsi="Times New Roman" w:cs="Times New Roman" w:hint="eastAsia"/>
          <w:sz w:val="24"/>
          <w:szCs w:val="24"/>
        </w:rPr>
        <w:t>-</w:t>
      </w:r>
      <w:r w:rsidRPr="004C4C0F">
        <w:rPr>
          <w:rFonts w:ascii="Times New Roman" w:eastAsia="新宋体" w:hAnsi="Times New Roman" w:cs="Times New Roman" w:hint="eastAsia"/>
          <w:sz w:val="24"/>
          <w:szCs w:val="24"/>
        </w:rPr>
        <w:t>干预技术模型，研制了系列测评工具，推动了风险因素预测体重增加的实际应用，实现了从基础理论、认知神经机制到实际应用等重要突破。</w:t>
      </w:r>
    </w:p>
    <w:p w14:paraId="1F9479DE" w14:textId="4770FEE4" w:rsidR="004C4C0F" w:rsidRDefault="004C4C0F" w:rsidP="004C4C0F">
      <w:pPr>
        <w:adjustRightInd w:val="0"/>
        <w:snapToGrid w:val="0"/>
        <w:spacing w:line="360" w:lineRule="exact"/>
        <w:ind w:firstLine="420"/>
        <w:rPr>
          <w:rFonts w:ascii="Times New Roman" w:eastAsia="新宋体" w:hAnsi="Times New Roman" w:cs="Times New Roman"/>
          <w:sz w:val="24"/>
          <w:szCs w:val="24"/>
        </w:rPr>
      </w:pPr>
      <w:r w:rsidRPr="004C4C0F">
        <w:rPr>
          <w:rFonts w:ascii="Times New Roman" w:eastAsia="新宋体" w:hAnsi="Times New Roman" w:cs="Times New Roman" w:hint="eastAsia"/>
          <w:sz w:val="24"/>
          <w:szCs w:val="24"/>
        </w:rPr>
        <w:t>成果达到国际先进水平，受到同行的广泛认可，</w:t>
      </w:r>
      <w:r w:rsidRPr="004C4C0F">
        <w:rPr>
          <w:rFonts w:ascii="Times New Roman" w:eastAsia="新宋体" w:hAnsi="Times New Roman" w:cs="Times New Roman" w:hint="eastAsia"/>
          <w:sz w:val="24"/>
          <w:szCs w:val="24"/>
        </w:rPr>
        <w:t>20</w:t>
      </w:r>
      <w:r w:rsidRPr="004C4C0F">
        <w:rPr>
          <w:rFonts w:ascii="Times New Roman" w:eastAsia="新宋体" w:hAnsi="Times New Roman" w:cs="Times New Roman" w:hint="eastAsia"/>
          <w:sz w:val="24"/>
          <w:szCs w:val="24"/>
        </w:rPr>
        <w:t>篇主要论文他引总次数为</w:t>
      </w:r>
      <w:r w:rsidRPr="004C4C0F">
        <w:rPr>
          <w:rFonts w:ascii="Times New Roman" w:eastAsia="新宋体" w:hAnsi="Times New Roman" w:cs="Times New Roman" w:hint="eastAsia"/>
          <w:sz w:val="24"/>
          <w:szCs w:val="24"/>
        </w:rPr>
        <w:t>220</w:t>
      </w:r>
      <w:r w:rsidRPr="004C4C0F">
        <w:rPr>
          <w:rFonts w:ascii="Times New Roman" w:eastAsia="新宋体" w:hAnsi="Times New Roman" w:cs="Times New Roman" w:hint="eastAsia"/>
          <w:sz w:val="24"/>
          <w:szCs w:val="24"/>
        </w:rPr>
        <w:t>次，</w:t>
      </w:r>
      <w:r w:rsidRPr="004C4C0F">
        <w:rPr>
          <w:rFonts w:ascii="Times New Roman" w:eastAsia="新宋体" w:hAnsi="Times New Roman" w:cs="Times New Roman" w:hint="eastAsia"/>
          <w:sz w:val="24"/>
          <w:szCs w:val="24"/>
        </w:rPr>
        <w:t>5</w:t>
      </w:r>
      <w:r w:rsidRPr="004C4C0F">
        <w:rPr>
          <w:rFonts w:ascii="Times New Roman" w:eastAsia="新宋体" w:hAnsi="Times New Roman" w:cs="Times New Roman" w:hint="eastAsia"/>
          <w:sz w:val="24"/>
          <w:szCs w:val="24"/>
        </w:rPr>
        <w:t>篇代表性论文平均影响因子</w:t>
      </w:r>
      <w:r w:rsidRPr="004C4C0F">
        <w:rPr>
          <w:rFonts w:ascii="Times New Roman" w:eastAsia="新宋体" w:hAnsi="Times New Roman" w:cs="Times New Roman" w:hint="eastAsia"/>
          <w:sz w:val="24"/>
          <w:szCs w:val="24"/>
        </w:rPr>
        <w:t>7.87</w:t>
      </w:r>
      <w:r w:rsidRPr="004C4C0F">
        <w:rPr>
          <w:rFonts w:ascii="Times New Roman" w:eastAsia="新宋体" w:hAnsi="Times New Roman" w:cs="Times New Roman" w:hint="eastAsia"/>
          <w:sz w:val="24"/>
          <w:szCs w:val="24"/>
        </w:rPr>
        <w:t>，单篇最高影响因子大于</w:t>
      </w:r>
      <w:r w:rsidRPr="004C4C0F">
        <w:rPr>
          <w:rFonts w:ascii="Times New Roman" w:eastAsia="新宋体" w:hAnsi="Times New Roman" w:cs="Times New Roman" w:hint="eastAsia"/>
          <w:sz w:val="24"/>
          <w:szCs w:val="24"/>
        </w:rPr>
        <w:t>10</w:t>
      </w:r>
      <w:r w:rsidRPr="004C4C0F">
        <w:rPr>
          <w:rFonts w:ascii="Times New Roman" w:eastAsia="新宋体" w:hAnsi="Times New Roman" w:cs="Times New Roman" w:hint="eastAsia"/>
          <w:sz w:val="24"/>
          <w:szCs w:val="24"/>
        </w:rPr>
        <w:t>分</w:t>
      </w:r>
      <w:r w:rsidRPr="004C4C0F">
        <w:rPr>
          <w:rFonts w:ascii="Times New Roman" w:eastAsia="新宋体" w:hAnsi="Times New Roman" w:cs="Times New Roman" w:hint="eastAsia"/>
          <w:sz w:val="24"/>
          <w:szCs w:val="24"/>
        </w:rPr>
        <w:t>1</w:t>
      </w:r>
      <w:r w:rsidRPr="004C4C0F">
        <w:rPr>
          <w:rFonts w:ascii="Times New Roman" w:eastAsia="新宋体" w:hAnsi="Times New Roman" w:cs="Times New Roman" w:hint="eastAsia"/>
          <w:sz w:val="24"/>
          <w:szCs w:val="24"/>
        </w:rPr>
        <w:t>篇。获并获得国际权威期刊如</w:t>
      </w:r>
      <w:r w:rsidRPr="004C4C0F">
        <w:rPr>
          <w:rFonts w:ascii="Times New Roman" w:eastAsia="新宋体" w:hAnsi="Times New Roman" w:cs="Times New Roman" w:hint="eastAsia"/>
          <w:sz w:val="24"/>
          <w:szCs w:val="24"/>
        </w:rPr>
        <w:t>Lancet Diabetes &amp; Endocrinology(IF=32.07)</w:t>
      </w:r>
      <w:r w:rsidRPr="004C4C0F">
        <w:rPr>
          <w:rFonts w:ascii="Times New Roman" w:eastAsia="新宋体" w:hAnsi="Times New Roman" w:cs="Times New Roman" w:hint="eastAsia"/>
          <w:sz w:val="24"/>
          <w:szCs w:val="24"/>
        </w:rPr>
        <w:t>、</w:t>
      </w:r>
      <w:r w:rsidRPr="004C4C0F">
        <w:rPr>
          <w:rFonts w:ascii="Times New Roman" w:eastAsia="新宋体" w:hAnsi="Times New Roman" w:cs="Times New Roman" w:hint="eastAsia"/>
          <w:sz w:val="24"/>
          <w:szCs w:val="24"/>
        </w:rPr>
        <w:t xml:space="preserve">Sports Medicine(IF=12.19) </w:t>
      </w:r>
      <w:r w:rsidRPr="004C4C0F">
        <w:rPr>
          <w:rFonts w:ascii="Times New Roman" w:eastAsia="新宋体" w:hAnsi="Times New Roman" w:cs="Times New Roman" w:hint="eastAsia"/>
          <w:sz w:val="24"/>
          <w:szCs w:val="24"/>
        </w:rPr>
        <w:t>等正面</w:t>
      </w:r>
      <w:r w:rsidRPr="004C4C0F">
        <w:rPr>
          <w:rFonts w:ascii="Times New Roman" w:eastAsia="新宋体" w:hAnsi="Times New Roman" w:cs="Times New Roman" w:hint="eastAsia"/>
          <w:sz w:val="24"/>
          <w:szCs w:val="24"/>
        </w:rPr>
        <w:lastRenderedPageBreak/>
        <w:t>评价。《纽约时报》长篇报道，称</w:t>
      </w:r>
      <w:r w:rsidR="00743E48">
        <w:rPr>
          <w:rFonts w:ascii="Times New Roman" w:eastAsia="新宋体" w:hAnsi="Times New Roman" w:cs="Times New Roman" w:hint="eastAsia"/>
          <w:sz w:val="24"/>
          <w:szCs w:val="24"/>
        </w:rPr>
        <w:t>该</w:t>
      </w:r>
      <w:r w:rsidRPr="004C4C0F">
        <w:rPr>
          <w:rFonts w:ascii="Times New Roman" w:eastAsia="新宋体" w:hAnsi="Times New Roman" w:cs="Times New Roman" w:hint="eastAsia"/>
          <w:sz w:val="24"/>
          <w:szCs w:val="24"/>
        </w:rPr>
        <w:t>研究填补了运动态度影响大脑神经反应的空白。</w:t>
      </w:r>
    </w:p>
    <w:p w14:paraId="2A4615CC" w14:textId="77777777" w:rsidR="00327F75" w:rsidRPr="00844B8A" w:rsidRDefault="00327F75" w:rsidP="00C84E44">
      <w:pPr>
        <w:widowControl/>
        <w:spacing w:line="360" w:lineRule="auto"/>
        <w:ind w:firstLineChars="200" w:firstLine="480"/>
        <w:rPr>
          <w:rFonts w:asciiTheme="majorEastAsia" w:eastAsiaTheme="majorEastAsia" w:hAnsiTheme="majorEastAsia" w:cs="宋体"/>
          <w:sz w:val="24"/>
          <w:szCs w:val="24"/>
          <w:u w:color="000000"/>
          <w:bdr w:val="nil"/>
        </w:rPr>
      </w:pPr>
    </w:p>
    <w:p w14:paraId="4EFE0955" w14:textId="77777777" w:rsidR="00704237" w:rsidRPr="00ED65F3" w:rsidRDefault="002A259D" w:rsidP="00704237">
      <w:pPr>
        <w:widowControl/>
        <w:spacing w:line="360" w:lineRule="auto"/>
        <w:rPr>
          <w:rFonts w:ascii="宋体" w:hAnsi="宋体"/>
          <w:sz w:val="24"/>
          <w:szCs w:val="24"/>
        </w:rPr>
      </w:pPr>
      <w:r w:rsidRPr="00804217">
        <w:rPr>
          <w:rFonts w:ascii="Times New Roman" w:eastAsia="方正仿宋_GBK" w:hAnsi="宋体" w:hint="eastAsia"/>
          <w:b/>
          <w:color w:val="000000"/>
          <w:sz w:val="28"/>
          <w:szCs w:val="28"/>
          <w:shd w:val="clear" w:color="auto" w:fill="FFFFFF"/>
        </w:rPr>
        <w:t>三、</w:t>
      </w:r>
      <w:r w:rsidR="00704237" w:rsidRPr="00804217">
        <w:rPr>
          <w:rFonts w:ascii="Times New Roman" w:eastAsia="方正仿宋_GBK" w:hAnsi="宋体" w:hint="eastAsia"/>
          <w:b/>
          <w:color w:val="000000"/>
          <w:sz w:val="28"/>
          <w:szCs w:val="28"/>
          <w:shd w:val="clear" w:color="auto" w:fill="FFFFFF"/>
        </w:rPr>
        <w:t>代表性论文、专著目录</w:t>
      </w:r>
      <w:r w:rsidR="00704237" w:rsidRPr="00ED65F3">
        <w:rPr>
          <w:rFonts w:ascii="宋体" w:hAnsi="宋体" w:hint="eastAsia"/>
          <w:sz w:val="24"/>
          <w:szCs w:val="24"/>
        </w:rPr>
        <w:t>(不超过5篇)</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804"/>
        <w:gridCol w:w="1060"/>
        <w:gridCol w:w="1470"/>
        <w:gridCol w:w="1201"/>
        <w:gridCol w:w="799"/>
        <w:gridCol w:w="839"/>
        <w:gridCol w:w="907"/>
        <w:gridCol w:w="771"/>
        <w:gridCol w:w="719"/>
      </w:tblGrid>
      <w:tr w:rsidR="00704237" w14:paraId="7D20E51A" w14:textId="77777777" w:rsidTr="00B352BD">
        <w:trPr>
          <w:trHeight w:val="877"/>
          <w:jc w:val="center"/>
        </w:trPr>
        <w:tc>
          <w:tcPr>
            <w:tcW w:w="392" w:type="dxa"/>
            <w:vAlign w:val="center"/>
          </w:tcPr>
          <w:p w14:paraId="02B8D98D" w14:textId="77777777" w:rsidR="00704237" w:rsidRDefault="00704237" w:rsidP="004845CD">
            <w:pPr>
              <w:jc w:val="center"/>
              <w:rPr>
                <w:rFonts w:ascii="宋体" w:hAnsi="宋体"/>
                <w:sz w:val="24"/>
                <w:szCs w:val="24"/>
              </w:rPr>
            </w:pPr>
            <w:r>
              <w:rPr>
                <w:rFonts w:ascii="宋体" w:hAnsi="宋体"/>
                <w:sz w:val="24"/>
                <w:szCs w:val="24"/>
              </w:rPr>
              <w:t>序号</w:t>
            </w:r>
          </w:p>
        </w:tc>
        <w:tc>
          <w:tcPr>
            <w:tcW w:w="1804" w:type="dxa"/>
            <w:vAlign w:val="center"/>
          </w:tcPr>
          <w:p w14:paraId="087EA2BC"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论文</w:t>
            </w:r>
            <w:r>
              <w:rPr>
                <w:rFonts w:ascii="宋体" w:hAnsi="宋体" w:hint="eastAsia"/>
                <w:kern w:val="0"/>
                <w:sz w:val="24"/>
                <w:szCs w:val="24"/>
              </w:rPr>
              <w:t>、专著</w:t>
            </w:r>
            <w:r>
              <w:rPr>
                <w:rFonts w:ascii="宋体" w:hAnsi="宋体"/>
                <w:kern w:val="0"/>
                <w:sz w:val="24"/>
                <w:szCs w:val="24"/>
              </w:rPr>
              <w:t>名称/刊名/作者</w:t>
            </w:r>
          </w:p>
        </w:tc>
        <w:tc>
          <w:tcPr>
            <w:tcW w:w="1060" w:type="dxa"/>
            <w:vAlign w:val="center"/>
          </w:tcPr>
          <w:p w14:paraId="7D35B5BA"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影响</w:t>
            </w:r>
          </w:p>
          <w:p w14:paraId="10899095"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因子</w:t>
            </w:r>
          </w:p>
        </w:tc>
        <w:tc>
          <w:tcPr>
            <w:tcW w:w="1470" w:type="dxa"/>
            <w:vAlign w:val="center"/>
          </w:tcPr>
          <w:p w14:paraId="087C5D9A"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年卷页码</w:t>
            </w:r>
          </w:p>
          <w:p w14:paraId="261F9CA3"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w:t>
            </w:r>
            <w:r>
              <w:rPr>
                <w:rFonts w:ascii="宋体" w:hAnsi="宋体" w:hint="eastAsia"/>
                <w:kern w:val="0"/>
                <w:sz w:val="24"/>
                <w:szCs w:val="24"/>
              </w:rPr>
              <w:t>xx</w:t>
            </w:r>
            <w:r>
              <w:rPr>
                <w:rFonts w:ascii="宋体" w:hAnsi="宋体"/>
                <w:kern w:val="0"/>
                <w:sz w:val="24"/>
                <w:szCs w:val="24"/>
              </w:rPr>
              <w:t xml:space="preserve"> 年xx</w:t>
            </w:r>
          </w:p>
          <w:p w14:paraId="25C8DBD4"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卷-xx 页）</w:t>
            </w:r>
          </w:p>
        </w:tc>
        <w:tc>
          <w:tcPr>
            <w:tcW w:w="1201" w:type="dxa"/>
            <w:vAlign w:val="center"/>
          </w:tcPr>
          <w:p w14:paraId="25A619DA"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发表时间</w:t>
            </w:r>
          </w:p>
          <w:p w14:paraId="703A7EC2"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年 月 日</w:t>
            </w:r>
          </w:p>
        </w:tc>
        <w:tc>
          <w:tcPr>
            <w:tcW w:w="799" w:type="dxa"/>
            <w:vAlign w:val="center"/>
          </w:tcPr>
          <w:p w14:paraId="0F1DCC05"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是否国内完成</w:t>
            </w:r>
          </w:p>
        </w:tc>
        <w:tc>
          <w:tcPr>
            <w:tcW w:w="839" w:type="dxa"/>
            <w:vAlign w:val="center"/>
          </w:tcPr>
          <w:p w14:paraId="052892E5"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通讯作者</w:t>
            </w:r>
          </w:p>
        </w:tc>
        <w:tc>
          <w:tcPr>
            <w:tcW w:w="907" w:type="dxa"/>
            <w:vAlign w:val="center"/>
          </w:tcPr>
          <w:p w14:paraId="0097FBB7" w14:textId="77777777" w:rsidR="00704237" w:rsidRDefault="00704237" w:rsidP="004845CD">
            <w:pPr>
              <w:autoSpaceDE w:val="0"/>
              <w:autoSpaceDN w:val="0"/>
              <w:adjustRightInd w:val="0"/>
              <w:jc w:val="center"/>
              <w:rPr>
                <w:rFonts w:ascii="宋体" w:hAnsi="宋体"/>
                <w:kern w:val="0"/>
                <w:sz w:val="24"/>
                <w:szCs w:val="24"/>
              </w:rPr>
            </w:pPr>
            <w:r>
              <w:rPr>
                <w:rFonts w:ascii="宋体" w:hAnsi="宋体" w:hint="eastAsia"/>
                <w:kern w:val="0"/>
                <w:sz w:val="24"/>
                <w:szCs w:val="24"/>
              </w:rPr>
              <w:t>第一作者</w:t>
            </w:r>
          </w:p>
        </w:tc>
        <w:tc>
          <w:tcPr>
            <w:tcW w:w="771" w:type="dxa"/>
            <w:vAlign w:val="center"/>
          </w:tcPr>
          <w:p w14:paraId="61A04883"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SCI 他引次数</w:t>
            </w:r>
          </w:p>
        </w:tc>
        <w:tc>
          <w:tcPr>
            <w:tcW w:w="719" w:type="dxa"/>
            <w:vAlign w:val="center"/>
          </w:tcPr>
          <w:p w14:paraId="5D0AA9CC" w14:textId="77777777" w:rsidR="00704237" w:rsidRDefault="00704237" w:rsidP="004845CD">
            <w:pPr>
              <w:autoSpaceDE w:val="0"/>
              <w:autoSpaceDN w:val="0"/>
              <w:adjustRightInd w:val="0"/>
              <w:jc w:val="center"/>
              <w:rPr>
                <w:rFonts w:ascii="宋体" w:hAnsi="宋体"/>
                <w:kern w:val="0"/>
                <w:sz w:val="24"/>
                <w:szCs w:val="24"/>
              </w:rPr>
            </w:pPr>
            <w:r>
              <w:rPr>
                <w:rFonts w:ascii="宋体" w:hAnsi="宋体"/>
                <w:kern w:val="0"/>
                <w:sz w:val="24"/>
                <w:szCs w:val="24"/>
              </w:rPr>
              <w:t>他引</w:t>
            </w:r>
            <w:r>
              <w:rPr>
                <w:rFonts w:ascii="宋体" w:hAnsi="宋体" w:hint="eastAsia"/>
                <w:kern w:val="0"/>
                <w:sz w:val="24"/>
                <w:szCs w:val="24"/>
              </w:rPr>
              <w:t>总</w:t>
            </w:r>
            <w:r>
              <w:rPr>
                <w:rFonts w:ascii="宋体" w:hAnsi="宋体"/>
                <w:kern w:val="0"/>
                <w:sz w:val="24"/>
                <w:szCs w:val="24"/>
              </w:rPr>
              <w:t>次数</w:t>
            </w:r>
          </w:p>
        </w:tc>
      </w:tr>
      <w:tr w:rsidR="00D74E2A" w14:paraId="59D5C466" w14:textId="77777777" w:rsidTr="00B352BD">
        <w:trPr>
          <w:trHeight w:hRule="exact" w:val="4115"/>
          <w:jc w:val="center"/>
        </w:trPr>
        <w:tc>
          <w:tcPr>
            <w:tcW w:w="392" w:type="dxa"/>
            <w:vAlign w:val="center"/>
          </w:tcPr>
          <w:p w14:paraId="72020928" w14:textId="77777777"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1</w:t>
            </w:r>
          </w:p>
        </w:tc>
        <w:tc>
          <w:tcPr>
            <w:tcW w:w="1804" w:type="dxa"/>
            <w:vAlign w:val="center"/>
          </w:tcPr>
          <w:p w14:paraId="53264754" w14:textId="1F1E8F4B" w:rsidR="00D74E2A" w:rsidRPr="00D74E2A" w:rsidRDefault="00D74E2A" w:rsidP="00D74E2A">
            <w:pPr>
              <w:jc w:val="center"/>
              <w:rPr>
                <w:rFonts w:ascii="Times New Roman" w:hAnsi="Times New Roman" w:cs="Times New Roman"/>
                <w:sz w:val="24"/>
                <w:szCs w:val="24"/>
              </w:rPr>
            </w:pPr>
            <w:r w:rsidRPr="00D74E2A">
              <w:rPr>
                <w:rFonts w:ascii="Times New Roman" w:hAnsi="Times New Roman" w:cs="Times New Roman"/>
                <w:sz w:val="20"/>
                <w:szCs w:val="21"/>
              </w:rPr>
              <w:t xml:space="preserve">Cognitive training on eating </w:t>
            </w:r>
            <w:proofErr w:type="spellStart"/>
            <w:r w:rsidRPr="00D74E2A">
              <w:rPr>
                <w:rFonts w:ascii="Times New Roman" w:hAnsi="Times New Roman" w:cs="Times New Roman"/>
                <w:sz w:val="20"/>
                <w:szCs w:val="21"/>
              </w:rPr>
              <w:t>behaviour</w:t>
            </w:r>
            <w:proofErr w:type="spellEnd"/>
            <w:r w:rsidRPr="00D74E2A">
              <w:rPr>
                <w:rFonts w:ascii="Times New Roman" w:hAnsi="Times New Roman" w:cs="Times New Roman"/>
                <w:sz w:val="20"/>
                <w:szCs w:val="21"/>
              </w:rPr>
              <w:t xml:space="preserve"> and weight loss: A meta-analysis and systematic review/Obesity Reviews/</w:t>
            </w:r>
            <w:proofErr w:type="spellStart"/>
            <w:r w:rsidRPr="00D74E2A">
              <w:rPr>
                <w:rFonts w:ascii="Times New Roman" w:hAnsi="Times New Roman" w:cs="Times New Roman"/>
                <w:sz w:val="20"/>
                <w:szCs w:val="21"/>
              </w:rPr>
              <w:t>Yingkai</w:t>
            </w:r>
            <w:proofErr w:type="spellEnd"/>
            <w:r w:rsidRPr="00D74E2A">
              <w:rPr>
                <w:rFonts w:ascii="Times New Roman" w:hAnsi="Times New Roman" w:cs="Times New Roman"/>
                <w:sz w:val="20"/>
                <w:szCs w:val="21"/>
              </w:rPr>
              <w:t xml:space="preserve"> Yang, Grant S. Shields, Qian Liu, </w:t>
            </w:r>
            <w:proofErr w:type="spellStart"/>
            <w:r w:rsidRPr="00D74E2A">
              <w:rPr>
                <w:rFonts w:ascii="Times New Roman" w:hAnsi="Times New Roman" w:cs="Times New Roman"/>
                <w:sz w:val="20"/>
                <w:szCs w:val="21"/>
              </w:rPr>
              <w:t>Yanling</w:t>
            </w:r>
            <w:proofErr w:type="spellEnd"/>
            <w:r w:rsidRPr="00D74E2A">
              <w:rPr>
                <w:rFonts w:ascii="Times New Roman" w:hAnsi="Times New Roman" w:cs="Times New Roman"/>
                <w:sz w:val="20"/>
                <w:szCs w:val="21"/>
              </w:rPr>
              <w:t xml:space="preserve"> Liu, Hong Chen, Cheng Guo</w:t>
            </w:r>
          </w:p>
        </w:tc>
        <w:tc>
          <w:tcPr>
            <w:tcW w:w="1060" w:type="dxa"/>
            <w:vAlign w:val="center"/>
          </w:tcPr>
          <w:p w14:paraId="7E8B4ED5" w14:textId="4C816314"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0"/>
                <w:szCs w:val="21"/>
              </w:rPr>
              <w:t>12.13</w:t>
            </w:r>
          </w:p>
        </w:tc>
        <w:tc>
          <w:tcPr>
            <w:tcW w:w="1470" w:type="dxa"/>
            <w:vAlign w:val="center"/>
          </w:tcPr>
          <w:p w14:paraId="415C421B" w14:textId="1240AFD6"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0"/>
                <w:szCs w:val="21"/>
              </w:rPr>
              <w:t>2019,20,1628-1641</w:t>
            </w:r>
          </w:p>
        </w:tc>
        <w:tc>
          <w:tcPr>
            <w:tcW w:w="1201" w:type="dxa"/>
            <w:vAlign w:val="center"/>
          </w:tcPr>
          <w:p w14:paraId="0B60E20D" w14:textId="470E297C" w:rsidR="00D74E2A" w:rsidRPr="00D74E2A" w:rsidRDefault="00D74E2A" w:rsidP="00D74E2A">
            <w:pPr>
              <w:spacing w:line="360" w:lineRule="auto"/>
              <w:jc w:val="center"/>
              <w:rPr>
                <w:rFonts w:ascii="Times New Roman" w:hAnsi="Times New Roman" w:cs="Times New Roman"/>
                <w:sz w:val="20"/>
                <w:szCs w:val="21"/>
              </w:rPr>
            </w:pPr>
            <w:r w:rsidRPr="00D74E2A">
              <w:rPr>
                <w:rFonts w:ascii="Times New Roman" w:hAnsi="Times New Roman" w:cs="Times New Roman"/>
                <w:sz w:val="20"/>
                <w:szCs w:val="21"/>
              </w:rPr>
              <w:t>2019</w:t>
            </w:r>
            <w:r w:rsidRPr="00D74E2A">
              <w:rPr>
                <w:rFonts w:ascii="Times New Roman" w:hAnsi="Times New Roman" w:cs="Times New Roman"/>
                <w:sz w:val="20"/>
                <w:szCs w:val="21"/>
              </w:rPr>
              <w:t>年</w:t>
            </w:r>
            <w:r w:rsidRPr="00D74E2A">
              <w:rPr>
                <w:rFonts w:ascii="Times New Roman" w:hAnsi="Times New Roman" w:cs="Times New Roman"/>
                <w:sz w:val="20"/>
                <w:szCs w:val="21"/>
              </w:rPr>
              <w:t>7</w:t>
            </w:r>
            <w:r w:rsidRPr="00D74E2A">
              <w:rPr>
                <w:rFonts w:ascii="Times New Roman" w:hAnsi="Times New Roman" w:cs="Times New Roman"/>
                <w:sz w:val="20"/>
                <w:szCs w:val="21"/>
              </w:rPr>
              <w:t>月</w:t>
            </w:r>
            <w:r w:rsidRPr="00D74E2A">
              <w:rPr>
                <w:rFonts w:ascii="Times New Roman" w:hAnsi="Times New Roman" w:cs="Times New Roman"/>
                <w:sz w:val="20"/>
                <w:szCs w:val="21"/>
              </w:rPr>
              <w:t>2</w:t>
            </w:r>
            <w:r w:rsidRPr="00D74E2A">
              <w:rPr>
                <w:rFonts w:ascii="Times New Roman" w:hAnsi="Times New Roman" w:cs="Times New Roman"/>
                <w:sz w:val="20"/>
                <w:szCs w:val="21"/>
              </w:rPr>
              <w:t>日</w:t>
            </w:r>
          </w:p>
        </w:tc>
        <w:tc>
          <w:tcPr>
            <w:tcW w:w="799" w:type="dxa"/>
            <w:vAlign w:val="center"/>
          </w:tcPr>
          <w:p w14:paraId="1ECCB0D7" w14:textId="62A66A6A"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是</w:t>
            </w:r>
          </w:p>
        </w:tc>
        <w:tc>
          <w:tcPr>
            <w:tcW w:w="839" w:type="dxa"/>
            <w:vAlign w:val="center"/>
          </w:tcPr>
          <w:p w14:paraId="057A76CA" w14:textId="580DD9C4" w:rsidR="00D74E2A" w:rsidRPr="00D74E2A" w:rsidRDefault="00D74E2A" w:rsidP="00D74E2A">
            <w:pPr>
              <w:jc w:val="center"/>
              <w:rPr>
                <w:rFonts w:ascii="Times New Roman" w:hAnsi="Times New Roman" w:cs="Times New Roman"/>
                <w:sz w:val="20"/>
                <w:szCs w:val="21"/>
              </w:rPr>
            </w:pPr>
            <w:r w:rsidRPr="00D74E2A">
              <w:rPr>
                <w:rFonts w:ascii="Times New Roman" w:hAnsi="Times New Roman" w:cs="Times New Roman"/>
                <w:sz w:val="20"/>
                <w:szCs w:val="21"/>
              </w:rPr>
              <w:t>Cheng Guo/</w:t>
            </w:r>
          </w:p>
          <w:p w14:paraId="2DA8F0B6" w14:textId="117BDE5A" w:rsidR="00D74E2A" w:rsidRPr="00D74E2A" w:rsidRDefault="00D74E2A" w:rsidP="00D74E2A">
            <w:pPr>
              <w:jc w:val="center"/>
              <w:rPr>
                <w:rFonts w:ascii="Times New Roman" w:eastAsia="宋体" w:hAnsi="Times New Roman" w:cs="Times New Roman"/>
                <w:color w:val="000000"/>
                <w:kern w:val="0"/>
                <w:sz w:val="20"/>
                <w:szCs w:val="20"/>
                <w:u w:color="0D0D0D"/>
                <w:bdr w:val="nil"/>
                <w:lang w:eastAsia="en-US"/>
              </w:rPr>
            </w:pPr>
            <w:r w:rsidRPr="00D74E2A">
              <w:rPr>
                <w:rFonts w:ascii="Times New Roman" w:hAnsi="Times New Roman" w:cs="Times New Roman"/>
                <w:sz w:val="20"/>
                <w:szCs w:val="21"/>
              </w:rPr>
              <w:t>Hong Chen</w:t>
            </w:r>
          </w:p>
        </w:tc>
        <w:tc>
          <w:tcPr>
            <w:tcW w:w="907" w:type="dxa"/>
            <w:vAlign w:val="center"/>
          </w:tcPr>
          <w:p w14:paraId="45275055" w14:textId="1C15CF93" w:rsidR="00D74E2A" w:rsidRPr="00D74E2A" w:rsidRDefault="00D74E2A" w:rsidP="00D74E2A">
            <w:pPr>
              <w:jc w:val="center"/>
              <w:rPr>
                <w:rFonts w:ascii="Times New Roman" w:eastAsia="宋体" w:hAnsi="Times New Roman" w:cs="Times New Roman"/>
                <w:color w:val="000000"/>
                <w:kern w:val="0"/>
                <w:sz w:val="20"/>
                <w:szCs w:val="20"/>
                <w:u w:color="0D0D0D"/>
                <w:bdr w:val="nil"/>
                <w:lang w:eastAsia="en-US"/>
              </w:rPr>
            </w:pPr>
            <w:proofErr w:type="spellStart"/>
            <w:r w:rsidRPr="00D74E2A">
              <w:rPr>
                <w:rFonts w:ascii="Times New Roman" w:hAnsi="Times New Roman" w:cs="Times New Roman"/>
                <w:sz w:val="20"/>
                <w:szCs w:val="21"/>
              </w:rPr>
              <w:t>Yingkai</w:t>
            </w:r>
            <w:proofErr w:type="spellEnd"/>
            <w:r w:rsidRPr="00D74E2A">
              <w:rPr>
                <w:rFonts w:ascii="Times New Roman" w:hAnsi="Times New Roman" w:cs="Times New Roman"/>
                <w:sz w:val="20"/>
                <w:szCs w:val="21"/>
              </w:rPr>
              <w:t xml:space="preserve"> Yang</w:t>
            </w:r>
          </w:p>
        </w:tc>
        <w:tc>
          <w:tcPr>
            <w:tcW w:w="771" w:type="dxa"/>
            <w:vAlign w:val="center"/>
          </w:tcPr>
          <w:p w14:paraId="10419B08" w14:textId="1AC2D427"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 w:val="20"/>
                <w:szCs w:val="21"/>
              </w:rPr>
              <w:t>13</w:t>
            </w:r>
          </w:p>
        </w:tc>
        <w:tc>
          <w:tcPr>
            <w:tcW w:w="719" w:type="dxa"/>
            <w:vAlign w:val="center"/>
          </w:tcPr>
          <w:p w14:paraId="3FE546B1" w14:textId="3F51A67F"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 w:val="20"/>
                <w:szCs w:val="21"/>
              </w:rPr>
              <w:t>16</w:t>
            </w:r>
          </w:p>
        </w:tc>
      </w:tr>
      <w:tr w:rsidR="00D74E2A" w14:paraId="0B3FDF34" w14:textId="77777777" w:rsidTr="00B352BD">
        <w:trPr>
          <w:trHeight w:hRule="exact" w:val="4811"/>
          <w:jc w:val="center"/>
        </w:trPr>
        <w:tc>
          <w:tcPr>
            <w:tcW w:w="392" w:type="dxa"/>
            <w:vAlign w:val="center"/>
          </w:tcPr>
          <w:p w14:paraId="78DC5D8F" w14:textId="77777777"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2</w:t>
            </w:r>
          </w:p>
        </w:tc>
        <w:tc>
          <w:tcPr>
            <w:tcW w:w="1804" w:type="dxa"/>
            <w:vAlign w:val="center"/>
          </w:tcPr>
          <w:p w14:paraId="38FE355B" w14:textId="726BEF8F" w:rsidR="00D74E2A" w:rsidRPr="00D74E2A" w:rsidRDefault="00D74E2A" w:rsidP="00D74E2A">
            <w:pPr>
              <w:jc w:val="center"/>
              <w:rPr>
                <w:rFonts w:ascii="Times New Roman" w:eastAsia="宋体" w:hAnsi="Times New Roman" w:cs="Times New Roman"/>
                <w:color w:val="000000"/>
                <w:kern w:val="0"/>
                <w:sz w:val="20"/>
                <w:szCs w:val="20"/>
                <w:u w:color="0D0D0D"/>
                <w:bdr w:val="nil"/>
                <w:lang w:eastAsia="en-US"/>
              </w:rPr>
            </w:pPr>
            <w:r w:rsidRPr="00D74E2A">
              <w:rPr>
                <w:rFonts w:ascii="Times New Roman" w:hAnsi="Times New Roman" w:cs="Times New Roman"/>
                <w:szCs w:val="21"/>
              </w:rPr>
              <w:t>Risk Factors for Disordered Eating During Early and Middle Adolescence: Prospective Evidence from Mainland Chinese Boys and Girls/</w:t>
            </w:r>
            <w:r w:rsidRPr="00D74E2A">
              <w:rPr>
                <w:rFonts w:ascii="Times New Roman" w:hAnsi="Times New Roman" w:cs="Times New Roman"/>
              </w:rPr>
              <w:t xml:space="preserve"> </w:t>
            </w:r>
            <w:r w:rsidRPr="00D74E2A">
              <w:rPr>
                <w:rFonts w:ascii="Times New Roman" w:hAnsi="Times New Roman" w:cs="Times New Roman"/>
                <w:szCs w:val="21"/>
              </w:rPr>
              <w:t>Journal of Abnormal Psychology /Todd Jackson, Hong Chen</w:t>
            </w:r>
          </w:p>
        </w:tc>
        <w:tc>
          <w:tcPr>
            <w:tcW w:w="1060" w:type="dxa"/>
            <w:vAlign w:val="center"/>
          </w:tcPr>
          <w:p w14:paraId="0B51A806" w14:textId="464B5140"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Cs w:val="21"/>
              </w:rPr>
              <w:t>8.756</w:t>
            </w:r>
          </w:p>
        </w:tc>
        <w:tc>
          <w:tcPr>
            <w:tcW w:w="1470" w:type="dxa"/>
            <w:vAlign w:val="center"/>
          </w:tcPr>
          <w:p w14:paraId="56A797FD" w14:textId="5278D193"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Cs w:val="21"/>
              </w:rPr>
              <w:t>2011,120, 454-464</w:t>
            </w:r>
          </w:p>
        </w:tc>
        <w:tc>
          <w:tcPr>
            <w:tcW w:w="1201" w:type="dxa"/>
            <w:vAlign w:val="center"/>
          </w:tcPr>
          <w:p w14:paraId="767EAC62" w14:textId="000CDFA1"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Cs w:val="21"/>
              </w:rPr>
              <w:t>2011</w:t>
            </w:r>
            <w:r w:rsidRPr="00D74E2A">
              <w:rPr>
                <w:rFonts w:ascii="Times New Roman" w:hAnsi="Times New Roman" w:cs="Times New Roman"/>
                <w:szCs w:val="21"/>
              </w:rPr>
              <w:t>年</w:t>
            </w:r>
            <w:r w:rsidRPr="00D74E2A">
              <w:rPr>
                <w:rFonts w:ascii="Times New Roman" w:hAnsi="Times New Roman" w:cs="Times New Roman"/>
                <w:szCs w:val="21"/>
              </w:rPr>
              <w:t>5</w:t>
            </w:r>
            <w:r w:rsidRPr="00D74E2A">
              <w:rPr>
                <w:rFonts w:ascii="Times New Roman" w:hAnsi="Times New Roman" w:cs="Times New Roman"/>
                <w:szCs w:val="21"/>
              </w:rPr>
              <w:t>月</w:t>
            </w:r>
            <w:r w:rsidRPr="00D74E2A">
              <w:rPr>
                <w:rFonts w:ascii="Times New Roman" w:hAnsi="Times New Roman" w:cs="Times New Roman"/>
                <w:szCs w:val="21"/>
              </w:rPr>
              <w:t>21</w:t>
            </w:r>
            <w:r w:rsidRPr="00D74E2A">
              <w:rPr>
                <w:rFonts w:ascii="Times New Roman" w:hAnsi="Times New Roman" w:cs="Times New Roman"/>
                <w:szCs w:val="21"/>
              </w:rPr>
              <w:t>日</w:t>
            </w:r>
          </w:p>
        </w:tc>
        <w:tc>
          <w:tcPr>
            <w:tcW w:w="799" w:type="dxa"/>
            <w:vAlign w:val="center"/>
          </w:tcPr>
          <w:p w14:paraId="74A825E2" w14:textId="1EB87D26"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是</w:t>
            </w:r>
          </w:p>
        </w:tc>
        <w:tc>
          <w:tcPr>
            <w:tcW w:w="839" w:type="dxa"/>
            <w:vAlign w:val="center"/>
          </w:tcPr>
          <w:p w14:paraId="71C239B9" w14:textId="0BC90CFA" w:rsidR="00D74E2A" w:rsidRPr="00D74E2A" w:rsidRDefault="00D74E2A" w:rsidP="00D74E2A">
            <w:pPr>
              <w:jc w:val="center"/>
              <w:rPr>
                <w:rFonts w:ascii="Times New Roman" w:eastAsia="宋体" w:hAnsi="Times New Roman" w:cs="Times New Roman"/>
                <w:color w:val="000000"/>
                <w:kern w:val="0"/>
                <w:sz w:val="20"/>
                <w:szCs w:val="20"/>
                <w:u w:color="0D0D0D"/>
                <w:bdr w:val="nil"/>
              </w:rPr>
            </w:pPr>
            <w:r w:rsidRPr="00D74E2A">
              <w:rPr>
                <w:rFonts w:ascii="Times New Roman" w:hAnsi="Times New Roman" w:cs="Times New Roman"/>
                <w:sz w:val="20"/>
                <w:szCs w:val="21"/>
              </w:rPr>
              <w:t>Hong Chen</w:t>
            </w:r>
          </w:p>
        </w:tc>
        <w:tc>
          <w:tcPr>
            <w:tcW w:w="907" w:type="dxa"/>
            <w:vAlign w:val="center"/>
          </w:tcPr>
          <w:p w14:paraId="432D5A54" w14:textId="3B038CBE" w:rsidR="00D74E2A" w:rsidRPr="00D74E2A" w:rsidRDefault="00D74E2A" w:rsidP="00D74E2A">
            <w:pPr>
              <w:jc w:val="center"/>
              <w:rPr>
                <w:rFonts w:ascii="Times New Roman" w:eastAsia="宋体" w:hAnsi="Times New Roman" w:cs="Times New Roman"/>
                <w:color w:val="000000"/>
                <w:kern w:val="0"/>
                <w:sz w:val="20"/>
                <w:szCs w:val="20"/>
                <w:u w:color="0D0D0D"/>
                <w:bdr w:val="nil"/>
                <w:lang w:eastAsia="en-US"/>
              </w:rPr>
            </w:pPr>
            <w:r w:rsidRPr="00D74E2A">
              <w:rPr>
                <w:rFonts w:ascii="Times New Roman" w:hAnsi="Times New Roman" w:cs="Times New Roman"/>
                <w:szCs w:val="21"/>
              </w:rPr>
              <w:t>Todd Jackson</w:t>
            </w:r>
          </w:p>
        </w:tc>
        <w:tc>
          <w:tcPr>
            <w:tcW w:w="771" w:type="dxa"/>
            <w:vAlign w:val="center"/>
          </w:tcPr>
          <w:p w14:paraId="3DEF268D" w14:textId="3A6D372B"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Cs w:val="21"/>
              </w:rPr>
              <w:t>11</w:t>
            </w:r>
          </w:p>
        </w:tc>
        <w:tc>
          <w:tcPr>
            <w:tcW w:w="719" w:type="dxa"/>
            <w:vAlign w:val="center"/>
          </w:tcPr>
          <w:p w14:paraId="1AA6C77E" w14:textId="0AEA4F15"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 w:val="20"/>
                <w:szCs w:val="21"/>
              </w:rPr>
              <w:t>25</w:t>
            </w:r>
          </w:p>
        </w:tc>
      </w:tr>
      <w:tr w:rsidR="00D74E2A" w14:paraId="3E51AA91" w14:textId="77777777" w:rsidTr="00B352BD">
        <w:trPr>
          <w:trHeight w:hRule="exact" w:val="5113"/>
          <w:jc w:val="center"/>
        </w:trPr>
        <w:tc>
          <w:tcPr>
            <w:tcW w:w="392" w:type="dxa"/>
            <w:vAlign w:val="center"/>
          </w:tcPr>
          <w:p w14:paraId="2C628ABC" w14:textId="77777777"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3</w:t>
            </w:r>
          </w:p>
        </w:tc>
        <w:tc>
          <w:tcPr>
            <w:tcW w:w="1804" w:type="dxa"/>
            <w:vAlign w:val="center"/>
          </w:tcPr>
          <w:p w14:paraId="5B7114A7" w14:textId="31D22D72" w:rsidR="00D74E2A" w:rsidRPr="00D74E2A" w:rsidRDefault="00D74E2A" w:rsidP="00D74E2A">
            <w:pPr>
              <w:jc w:val="center"/>
              <w:rPr>
                <w:rFonts w:ascii="Times New Roman" w:eastAsia="宋体" w:hAnsi="Times New Roman" w:cs="Times New Roman"/>
                <w:color w:val="000000"/>
                <w:kern w:val="0"/>
                <w:sz w:val="20"/>
                <w:szCs w:val="20"/>
                <w:u w:color="0D0D0D"/>
                <w:bdr w:val="nil"/>
              </w:rPr>
            </w:pPr>
            <w:r w:rsidRPr="00D74E2A">
              <w:rPr>
                <w:rFonts w:ascii="Times New Roman" w:hAnsi="Times New Roman" w:cs="Times New Roman"/>
                <w:szCs w:val="21"/>
              </w:rPr>
              <w:t>Features of Objectified Body Consciousness and Sociocultural Perspectives as Risk Factors for Disordered Eating among Late-Adolescent Women and Men /</w:t>
            </w:r>
            <w:r w:rsidRPr="00D74E2A">
              <w:rPr>
                <w:rFonts w:ascii="Times New Roman" w:hAnsi="Times New Roman" w:cs="Times New Roman"/>
              </w:rPr>
              <w:t xml:space="preserve"> </w:t>
            </w:r>
            <w:r w:rsidRPr="00D74E2A">
              <w:rPr>
                <w:rFonts w:ascii="Times New Roman" w:hAnsi="Times New Roman" w:cs="Times New Roman"/>
                <w:szCs w:val="21"/>
              </w:rPr>
              <w:t>Journal of Counseling Psychology /Todd Jackson, Hong Chen</w:t>
            </w:r>
          </w:p>
        </w:tc>
        <w:tc>
          <w:tcPr>
            <w:tcW w:w="1060" w:type="dxa"/>
            <w:vAlign w:val="center"/>
          </w:tcPr>
          <w:p w14:paraId="1C323A04" w14:textId="08EBD432"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Cs w:val="21"/>
              </w:rPr>
              <w:t>6.905</w:t>
            </w:r>
          </w:p>
        </w:tc>
        <w:tc>
          <w:tcPr>
            <w:tcW w:w="1470" w:type="dxa"/>
            <w:vAlign w:val="center"/>
          </w:tcPr>
          <w:p w14:paraId="4DE85BC8" w14:textId="5A383830"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Cs w:val="21"/>
              </w:rPr>
              <w:t>2015,62,741-752</w:t>
            </w:r>
          </w:p>
        </w:tc>
        <w:tc>
          <w:tcPr>
            <w:tcW w:w="1201" w:type="dxa"/>
            <w:vAlign w:val="center"/>
          </w:tcPr>
          <w:p w14:paraId="6615E790" w14:textId="39D06F82"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Cs w:val="21"/>
              </w:rPr>
              <w:t>2015</w:t>
            </w:r>
            <w:r w:rsidRPr="00D74E2A">
              <w:rPr>
                <w:rFonts w:ascii="Times New Roman" w:hAnsi="Times New Roman" w:cs="Times New Roman"/>
                <w:szCs w:val="21"/>
              </w:rPr>
              <w:t>年</w:t>
            </w:r>
            <w:r w:rsidRPr="00D74E2A">
              <w:rPr>
                <w:rFonts w:ascii="Times New Roman" w:hAnsi="Times New Roman" w:cs="Times New Roman"/>
                <w:szCs w:val="21"/>
              </w:rPr>
              <w:t>10</w:t>
            </w:r>
            <w:r w:rsidRPr="00D74E2A">
              <w:rPr>
                <w:rFonts w:ascii="Times New Roman" w:hAnsi="Times New Roman" w:cs="Times New Roman"/>
                <w:szCs w:val="21"/>
              </w:rPr>
              <w:t>月</w:t>
            </w:r>
            <w:r w:rsidRPr="00D74E2A">
              <w:rPr>
                <w:rFonts w:ascii="Times New Roman" w:hAnsi="Times New Roman" w:cs="Times New Roman"/>
                <w:szCs w:val="21"/>
              </w:rPr>
              <w:t>30</w:t>
            </w:r>
            <w:r w:rsidRPr="00D74E2A">
              <w:rPr>
                <w:rFonts w:ascii="Times New Roman" w:hAnsi="Times New Roman" w:cs="Times New Roman"/>
                <w:szCs w:val="21"/>
              </w:rPr>
              <w:t>日</w:t>
            </w:r>
          </w:p>
        </w:tc>
        <w:tc>
          <w:tcPr>
            <w:tcW w:w="799" w:type="dxa"/>
            <w:vAlign w:val="center"/>
          </w:tcPr>
          <w:p w14:paraId="71616C55" w14:textId="765E9F8C"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是</w:t>
            </w:r>
          </w:p>
        </w:tc>
        <w:tc>
          <w:tcPr>
            <w:tcW w:w="839" w:type="dxa"/>
            <w:vAlign w:val="center"/>
          </w:tcPr>
          <w:p w14:paraId="4185DDBC" w14:textId="123B182A" w:rsidR="00D74E2A" w:rsidRPr="00D74E2A" w:rsidRDefault="00D74E2A" w:rsidP="00D74E2A">
            <w:pPr>
              <w:jc w:val="center"/>
              <w:rPr>
                <w:rFonts w:ascii="Times New Roman" w:eastAsia="宋体" w:hAnsi="Times New Roman" w:cs="Times New Roman"/>
                <w:color w:val="000000"/>
                <w:kern w:val="0"/>
                <w:sz w:val="20"/>
                <w:szCs w:val="20"/>
                <w:u w:color="0D0D0D"/>
                <w:bdr w:val="nil"/>
                <w:lang w:eastAsia="en-US"/>
              </w:rPr>
            </w:pPr>
            <w:r w:rsidRPr="00D74E2A">
              <w:rPr>
                <w:rFonts w:ascii="Times New Roman" w:hAnsi="Times New Roman" w:cs="Times New Roman"/>
                <w:sz w:val="20"/>
                <w:szCs w:val="21"/>
              </w:rPr>
              <w:t>Hong Chen</w:t>
            </w:r>
          </w:p>
        </w:tc>
        <w:tc>
          <w:tcPr>
            <w:tcW w:w="907" w:type="dxa"/>
            <w:vAlign w:val="center"/>
          </w:tcPr>
          <w:p w14:paraId="47983BA8" w14:textId="001AAD26" w:rsidR="00D74E2A" w:rsidRPr="00D74E2A" w:rsidRDefault="00D74E2A" w:rsidP="00D74E2A">
            <w:pPr>
              <w:jc w:val="center"/>
              <w:rPr>
                <w:rFonts w:ascii="Times New Roman" w:eastAsia="宋体" w:hAnsi="Times New Roman" w:cs="Times New Roman"/>
                <w:color w:val="000000"/>
                <w:kern w:val="0"/>
                <w:sz w:val="20"/>
                <w:szCs w:val="20"/>
                <w:u w:color="0D0D0D"/>
                <w:bdr w:val="nil"/>
              </w:rPr>
            </w:pPr>
            <w:r w:rsidRPr="00D74E2A">
              <w:rPr>
                <w:rFonts w:ascii="Times New Roman" w:hAnsi="Times New Roman" w:cs="Times New Roman"/>
                <w:sz w:val="20"/>
                <w:szCs w:val="21"/>
              </w:rPr>
              <w:t>Todd Jackson</w:t>
            </w:r>
          </w:p>
        </w:tc>
        <w:tc>
          <w:tcPr>
            <w:tcW w:w="771" w:type="dxa"/>
            <w:vAlign w:val="center"/>
          </w:tcPr>
          <w:p w14:paraId="36356503" w14:textId="59E87FAA"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Cs w:val="21"/>
              </w:rPr>
              <w:t>1</w:t>
            </w:r>
          </w:p>
        </w:tc>
        <w:tc>
          <w:tcPr>
            <w:tcW w:w="719" w:type="dxa"/>
            <w:vAlign w:val="center"/>
          </w:tcPr>
          <w:p w14:paraId="3970FAC8" w14:textId="47768EF3"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Cs w:val="21"/>
              </w:rPr>
              <w:t>21</w:t>
            </w:r>
          </w:p>
        </w:tc>
      </w:tr>
      <w:tr w:rsidR="00D74E2A" w14:paraId="3C6C93ED" w14:textId="77777777" w:rsidTr="00B352BD">
        <w:trPr>
          <w:trHeight w:hRule="exact" w:val="4326"/>
          <w:jc w:val="center"/>
        </w:trPr>
        <w:tc>
          <w:tcPr>
            <w:tcW w:w="392" w:type="dxa"/>
            <w:vAlign w:val="center"/>
          </w:tcPr>
          <w:p w14:paraId="5E094355" w14:textId="77777777"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4</w:t>
            </w:r>
          </w:p>
        </w:tc>
        <w:tc>
          <w:tcPr>
            <w:tcW w:w="1804" w:type="dxa"/>
            <w:vAlign w:val="center"/>
          </w:tcPr>
          <w:p w14:paraId="2468F8BC" w14:textId="672648DA" w:rsidR="00D74E2A" w:rsidRPr="00D74E2A" w:rsidRDefault="00D74E2A" w:rsidP="00D74E2A">
            <w:pPr>
              <w:jc w:val="center"/>
              <w:rPr>
                <w:rFonts w:ascii="Times New Roman" w:hAnsi="Times New Roman" w:cs="Times New Roman"/>
                <w:sz w:val="24"/>
                <w:szCs w:val="24"/>
              </w:rPr>
            </w:pPr>
            <w:r w:rsidRPr="00D74E2A">
              <w:rPr>
                <w:rFonts w:ascii="Times New Roman" w:hAnsi="Times New Roman" w:cs="Times New Roman"/>
                <w:sz w:val="20"/>
                <w:szCs w:val="21"/>
              </w:rPr>
              <w:t>Differences in neural activation to depictions of physical exercise and sedentary activity: an fMRI study of overweight and lean Chinese women/International Journal of Obesity/ Todd Jackson, Xiao Gao, Hong Chen</w:t>
            </w:r>
          </w:p>
        </w:tc>
        <w:tc>
          <w:tcPr>
            <w:tcW w:w="1060" w:type="dxa"/>
            <w:vAlign w:val="center"/>
          </w:tcPr>
          <w:p w14:paraId="6A1B0A81" w14:textId="0C52AF56"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0"/>
                <w:szCs w:val="21"/>
              </w:rPr>
              <w:t>5.804</w:t>
            </w:r>
          </w:p>
        </w:tc>
        <w:tc>
          <w:tcPr>
            <w:tcW w:w="1470" w:type="dxa"/>
            <w:vAlign w:val="center"/>
          </w:tcPr>
          <w:p w14:paraId="2A6ED846" w14:textId="5B1D394D"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0"/>
                <w:szCs w:val="21"/>
              </w:rPr>
              <w:t>2014,38,1180-1185</w:t>
            </w:r>
          </w:p>
        </w:tc>
        <w:tc>
          <w:tcPr>
            <w:tcW w:w="1201" w:type="dxa"/>
            <w:vAlign w:val="center"/>
          </w:tcPr>
          <w:p w14:paraId="796BADFF" w14:textId="0B2C2E9F"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0"/>
                <w:szCs w:val="21"/>
              </w:rPr>
              <w:t>2014</w:t>
            </w:r>
            <w:r w:rsidRPr="00D74E2A">
              <w:rPr>
                <w:rFonts w:ascii="Times New Roman" w:hAnsi="Times New Roman" w:cs="Times New Roman"/>
                <w:sz w:val="20"/>
                <w:szCs w:val="21"/>
              </w:rPr>
              <w:t>年</w:t>
            </w:r>
            <w:r w:rsidRPr="00D74E2A">
              <w:rPr>
                <w:rFonts w:ascii="Times New Roman" w:hAnsi="Times New Roman" w:cs="Times New Roman"/>
                <w:sz w:val="20"/>
                <w:szCs w:val="21"/>
              </w:rPr>
              <w:t>9</w:t>
            </w:r>
            <w:r w:rsidRPr="00D74E2A">
              <w:rPr>
                <w:rFonts w:ascii="Times New Roman" w:hAnsi="Times New Roman" w:cs="Times New Roman"/>
                <w:sz w:val="20"/>
                <w:szCs w:val="21"/>
              </w:rPr>
              <w:t>月</w:t>
            </w:r>
            <w:r w:rsidRPr="00D74E2A">
              <w:rPr>
                <w:rFonts w:ascii="Times New Roman" w:hAnsi="Times New Roman" w:cs="Times New Roman"/>
                <w:sz w:val="20"/>
                <w:szCs w:val="21"/>
              </w:rPr>
              <w:t>29</w:t>
            </w:r>
            <w:r w:rsidRPr="00D74E2A">
              <w:rPr>
                <w:rFonts w:ascii="Times New Roman" w:hAnsi="Times New Roman" w:cs="Times New Roman"/>
                <w:sz w:val="20"/>
                <w:szCs w:val="21"/>
              </w:rPr>
              <w:t>日</w:t>
            </w:r>
          </w:p>
        </w:tc>
        <w:tc>
          <w:tcPr>
            <w:tcW w:w="799" w:type="dxa"/>
            <w:vAlign w:val="center"/>
          </w:tcPr>
          <w:p w14:paraId="32FF1529" w14:textId="5D65F3FC"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是</w:t>
            </w:r>
          </w:p>
        </w:tc>
        <w:tc>
          <w:tcPr>
            <w:tcW w:w="839" w:type="dxa"/>
            <w:vAlign w:val="center"/>
          </w:tcPr>
          <w:p w14:paraId="7EDB93BE" w14:textId="1A712C86" w:rsidR="00D74E2A" w:rsidRPr="00D74E2A" w:rsidRDefault="00D74E2A" w:rsidP="00D74E2A">
            <w:pPr>
              <w:jc w:val="center"/>
              <w:rPr>
                <w:rFonts w:ascii="Times New Roman" w:eastAsia="宋体" w:hAnsi="Times New Roman" w:cs="Times New Roman"/>
                <w:color w:val="000000"/>
                <w:kern w:val="0"/>
                <w:sz w:val="20"/>
                <w:szCs w:val="20"/>
                <w:u w:color="0D0D0D"/>
                <w:bdr w:val="nil"/>
              </w:rPr>
            </w:pPr>
            <w:r w:rsidRPr="00D74E2A">
              <w:rPr>
                <w:rFonts w:ascii="Times New Roman" w:hAnsi="Times New Roman" w:cs="Times New Roman"/>
                <w:sz w:val="20"/>
                <w:szCs w:val="21"/>
              </w:rPr>
              <w:t>Hong Chen</w:t>
            </w:r>
          </w:p>
        </w:tc>
        <w:tc>
          <w:tcPr>
            <w:tcW w:w="907" w:type="dxa"/>
            <w:vAlign w:val="center"/>
          </w:tcPr>
          <w:p w14:paraId="48BFD5A9" w14:textId="02C5E07C" w:rsidR="00D74E2A" w:rsidRPr="00D74E2A" w:rsidRDefault="00D74E2A" w:rsidP="00D74E2A">
            <w:pPr>
              <w:jc w:val="center"/>
              <w:rPr>
                <w:rFonts w:ascii="Times New Roman" w:hAnsi="Times New Roman" w:cs="Times New Roman"/>
                <w:sz w:val="24"/>
                <w:szCs w:val="24"/>
              </w:rPr>
            </w:pPr>
            <w:r w:rsidRPr="00D74E2A">
              <w:rPr>
                <w:rFonts w:ascii="Times New Roman" w:hAnsi="Times New Roman" w:cs="Times New Roman"/>
                <w:sz w:val="20"/>
                <w:szCs w:val="21"/>
              </w:rPr>
              <w:t>Todd Jackson</w:t>
            </w:r>
          </w:p>
        </w:tc>
        <w:tc>
          <w:tcPr>
            <w:tcW w:w="771" w:type="dxa"/>
            <w:vAlign w:val="center"/>
          </w:tcPr>
          <w:p w14:paraId="02749522" w14:textId="2A56D33A"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 w:val="20"/>
                <w:szCs w:val="21"/>
              </w:rPr>
              <w:t>4</w:t>
            </w:r>
          </w:p>
        </w:tc>
        <w:tc>
          <w:tcPr>
            <w:tcW w:w="719" w:type="dxa"/>
            <w:vAlign w:val="center"/>
          </w:tcPr>
          <w:p w14:paraId="4D89D992" w14:textId="5FF20E77"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 w:val="20"/>
                <w:szCs w:val="21"/>
              </w:rPr>
              <w:t>5</w:t>
            </w:r>
          </w:p>
        </w:tc>
      </w:tr>
      <w:tr w:rsidR="00D74E2A" w14:paraId="089278F8" w14:textId="77777777" w:rsidTr="00B352BD">
        <w:trPr>
          <w:trHeight w:hRule="exact" w:val="4041"/>
          <w:jc w:val="center"/>
        </w:trPr>
        <w:tc>
          <w:tcPr>
            <w:tcW w:w="392" w:type="dxa"/>
            <w:vAlign w:val="center"/>
          </w:tcPr>
          <w:p w14:paraId="2C73CC6E" w14:textId="77777777"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5</w:t>
            </w:r>
          </w:p>
        </w:tc>
        <w:tc>
          <w:tcPr>
            <w:tcW w:w="1804" w:type="dxa"/>
            <w:vAlign w:val="center"/>
          </w:tcPr>
          <w:p w14:paraId="42C5B640" w14:textId="77777777" w:rsidR="00D74E2A" w:rsidRPr="00D74E2A" w:rsidRDefault="00D74E2A" w:rsidP="00D74E2A">
            <w:pPr>
              <w:jc w:val="center"/>
              <w:rPr>
                <w:rFonts w:ascii="Times New Roman" w:hAnsi="Times New Roman" w:cs="Times New Roman"/>
                <w:sz w:val="20"/>
                <w:szCs w:val="21"/>
              </w:rPr>
            </w:pPr>
            <w:r w:rsidRPr="00D74E2A">
              <w:rPr>
                <w:rFonts w:ascii="Times New Roman" w:hAnsi="Times New Roman" w:cs="Times New Roman"/>
                <w:sz w:val="20"/>
                <w:szCs w:val="21"/>
              </w:rPr>
              <w:t>Spontaneous regional brain activity links restrained eating to later weight gain among young women/Biological Psychology/</w:t>
            </w:r>
          </w:p>
          <w:p w14:paraId="71766FED" w14:textId="35ED9409" w:rsidR="00D74E2A" w:rsidRPr="00D74E2A" w:rsidRDefault="00D74E2A" w:rsidP="00D74E2A">
            <w:pPr>
              <w:snapToGrid w:val="0"/>
              <w:jc w:val="center"/>
              <w:rPr>
                <w:rFonts w:ascii="Times New Roman" w:hAnsi="Times New Roman" w:cs="Times New Roman"/>
                <w:sz w:val="20"/>
                <w:szCs w:val="21"/>
              </w:rPr>
            </w:pPr>
            <w:r w:rsidRPr="00D74E2A">
              <w:rPr>
                <w:rFonts w:ascii="Times New Roman" w:hAnsi="Times New Roman" w:cs="Times New Roman"/>
                <w:sz w:val="20"/>
                <w:szCs w:val="21"/>
              </w:rPr>
              <w:t xml:space="preserve">Debo Dong, Todd Jackson, </w:t>
            </w:r>
            <w:proofErr w:type="spellStart"/>
            <w:r w:rsidRPr="00D74E2A">
              <w:rPr>
                <w:rFonts w:ascii="Times New Roman" w:hAnsi="Times New Roman" w:cs="Times New Roman"/>
                <w:sz w:val="20"/>
                <w:szCs w:val="21"/>
              </w:rPr>
              <w:t>Yulin</w:t>
            </w:r>
            <w:proofErr w:type="spellEnd"/>
            <w:r w:rsidRPr="00D74E2A">
              <w:rPr>
                <w:rFonts w:ascii="Times New Roman" w:hAnsi="Times New Roman" w:cs="Times New Roman"/>
                <w:sz w:val="20"/>
                <w:szCs w:val="21"/>
              </w:rPr>
              <w:t xml:space="preserve"> Wang, Hong Chen</w:t>
            </w:r>
          </w:p>
        </w:tc>
        <w:tc>
          <w:tcPr>
            <w:tcW w:w="1060" w:type="dxa"/>
            <w:vAlign w:val="center"/>
          </w:tcPr>
          <w:p w14:paraId="67B0BA60" w14:textId="39052F9A"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0"/>
                <w:szCs w:val="21"/>
              </w:rPr>
              <w:t>3.923</w:t>
            </w:r>
          </w:p>
        </w:tc>
        <w:tc>
          <w:tcPr>
            <w:tcW w:w="1470" w:type="dxa"/>
            <w:vAlign w:val="center"/>
          </w:tcPr>
          <w:p w14:paraId="01EAE8A5" w14:textId="16FFF65F"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0"/>
                <w:szCs w:val="21"/>
              </w:rPr>
              <w:t>2015,109,176-183</w:t>
            </w:r>
          </w:p>
        </w:tc>
        <w:tc>
          <w:tcPr>
            <w:tcW w:w="1201" w:type="dxa"/>
            <w:vAlign w:val="center"/>
          </w:tcPr>
          <w:p w14:paraId="2BEBA768" w14:textId="749B62AA"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0"/>
                <w:szCs w:val="21"/>
              </w:rPr>
              <w:t>2015</w:t>
            </w:r>
            <w:r w:rsidRPr="00D74E2A">
              <w:rPr>
                <w:rFonts w:ascii="Times New Roman" w:hAnsi="Times New Roman" w:cs="Times New Roman"/>
                <w:sz w:val="20"/>
                <w:szCs w:val="21"/>
              </w:rPr>
              <w:t>年</w:t>
            </w:r>
            <w:r w:rsidRPr="00D74E2A">
              <w:rPr>
                <w:rFonts w:ascii="Times New Roman" w:hAnsi="Times New Roman" w:cs="Times New Roman"/>
                <w:sz w:val="20"/>
                <w:szCs w:val="21"/>
              </w:rPr>
              <w:t>7</w:t>
            </w:r>
            <w:r w:rsidRPr="00D74E2A">
              <w:rPr>
                <w:rFonts w:ascii="Times New Roman" w:hAnsi="Times New Roman" w:cs="Times New Roman"/>
                <w:sz w:val="20"/>
                <w:szCs w:val="21"/>
              </w:rPr>
              <w:t>月</w:t>
            </w:r>
            <w:r w:rsidRPr="00D74E2A">
              <w:rPr>
                <w:rFonts w:ascii="Times New Roman" w:hAnsi="Times New Roman" w:cs="Times New Roman"/>
                <w:sz w:val="20"/>
                <w:szCs w:val="21"/>
              </w:rPr>
              <w:t>30</w:t>
            </w:r>
            <w:r w:rsidRPr="00D74E2A">
              <w:rPr>
                <w:rFonts w:ascii="Times New Roman" w:hAnsi="Times New Roman" w:cs="Times New Roman"/>
                <w:sz w:val="20"/>
                <w:szCs w:val="21"/>
              </w:rPr>
              <w:t>日</w:t>
            </w:r>
          </w:p>
        </w:tc>
        <w:tc>
          <w:tcPr>
            <w:tcW w:w="799" w:type="dxa"/>
            <w:vAlign w:val="center"/>
          </w:tcPr>
          <w:p w14:paraId="0A8213BC" w14:textId="3CBAD60D" w:rsidR="00D74E2A" w:rsidRPr="00D74E2A" w:rsidRDefault="00D74E2A" w:rsidP="00D74E2A">
            <w:pPr>
              <w:spacing w:line="360" w:lineRule="auto"/>
              <w:jc w:val="center"/>
              <w:rPr>
                <w:rFonts w:ascii="Times New Roman" w:hAnsi="Times New Roman" w:cs="Times New Roman"/>
                <w:sz w:val="24"/>
                <w:szCs w:val="24"/>
              </w:rPr>
            </w:pPr>
            <w:r w:rsidRPr="00D74E2A">
              <w:rPr>
                <w:rFonts w:ascii="Times New Roman" w:hAnsi="Times New Roman" w:cs="Times New Roman"/>
                <w:sz w:val="24"/>
                <w:szCs w:val="24"/>
              </w:rPr>
              <w:t>是</w:t>
            </w:r>
          </w:p>
        </w:tc>
        <w:tc>
          <w:tcPr>
            <w:tcW w:w="839" w:type="dxa"/>
            <w:vAlign w:val="center"/>
          </w:tcPr>
          <w:p w14:paraId="3B3BBA56" w14:textId="7C41A1AF" w:rsidR="00D74E2A" w:rsidRPr="00D74E2A" w:rsidRDefault="00D74E2A" w:rsidP="00D74E2A">
            <w:pPr>
              <w:jc w:val="center"/>
              <w:rPr>
                <w:rFonts w:ascii="Times New Roman" w:eastAsia="宋体" w:hAnsi="Times New Roman" w:cs="Times New Roman"/>
                <w:color w:val="000000"/>
                <w:kern w:val="0"/>
                <w:sz w:val="20"/>
                <w:szCs w:val="20"/>
                <w:u w:color="0D0D0D"/>
                <w:bdr w:val="nil"/>
                <w:lang w:eastAsia="en-US"/>
              </w:rPr>
            </w:pPr>
            <w:r w:rsidRPr="00D74E2A">
              <w:rPr>
                <w:rFonts w:ascii="Times New Roman" w:hAnsi="Times New Roman" w:cs="Times New Roman"/>
                <w:sz w:val="20"/>
                <w:szCs w:val="21"/>
              </w:rPr>
              <w:t>Hong Chen</w:t>
            </w:r>
          </w:p>
        </w:tc>
        <w:tc>
          <w:tcPr>
            <w:tcW w:w="907" w:type="dxa"/>
            <w:vAlign w:val="center"/>
          </w:tcPr>
          <w:p w14:paraId="7D684111" w14:textId="7CE4A227" w:rsidR="00D74E2A" w:rsidRPr="00D74E2A" w:rsidRDefault="00D74E2A" w:rsidP="00D74E2A">
            <w:pPr>
              <w:jc w:val="center"/>
              <w:rPr>
                <w:rFonts w:ascii="Times New Roman" w:eastAsia="宋体" w:hAnsi="Times New Roman" w:cs="Times New Roman"/>
                <w:color w:val="000000"/>
                <w:kern w:val="0"/>
                <w:sz w:val="20"/>
                <w:szCs w:val="20"/>
                <w:u w:color="0D0D0D"/>
                <w:bdr w:val="nil"/>
                <w:lang w:eastAsia="en-US"/>
              </w:rPr>
            </w:pPr>
            <w:r w:rsidRPr="00D74E2A">
              <w:rPr>
                <w:rFonts w:ascii="Times New Roman" w:hAnsi="Times New Roman" w:cs="Times New Roman"/>
                <w:sz w:val="20"/>
                <w:szCs w:val="21"/>
              </w:rPr>
              <w:t>Debo Dong</w:t>
            </w:r>
          </w:p>
        </w:tc>
        <w:tc>
          <w:tcPr>
            <w:tcW w:w="771" w:type="dxa"/>
            <w:vAlign w:val="center"/>
          </w:tcPr>
          <w:p w14:paraId="2395227D" w14:textId="6421E67C"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 w:val="20"/>
                <w:szCs w:val="21"/>
              </w:rPr>
              <w:t>10</w:t>
            </w:r>
          </w:p>
        </w:tc>
        <w:tc>
          <w:tcPr>
            <w:tcW w:w="719" w:type="dxa"/>
            <w:vAlign w:val="center"/>
          </w:tcPr>
          <w:p w14:paraId="2B58CBE2" w14:textId="03941B89" w:rsidR="00D74E2A" w:rsidRPr="00D74E2A" w:rsidRDefault="00D74E2A" w:rsidP="00D74E2A">
            <w:pPr>
              <w:spacing w:line="360" w:lineRule="auto"/>
              <w:jc w:val="center"/>
              <w:rPr>
                <w:rFonts w:ascii="Times New Roman" w:hAnsi="Times New Roman" w:cs="Times New Roman"/>
                <w:sz w:val="24"/>
                <w:szCs w:val="24"/>
                <w:highlight w:val="green"/>
              </w:rPr>
            </w:pPr>
            <w:r w:rsidRPr="00D74E2A">
              <w:rPr>
                <w:rFonts w:ascii="Times New Roman" w:hAnsi="Times New Roman" w:cs="Times New Roman"/>
                <w:sz w:val="20"/>
                <w:szCs w:val="21"/>
              </w:rPr>
              <w:t>13</w:t>
            </w:r>
          </w:p>
        </w:tc>
      </w:tr>
      <w:tr w:rsidR="00C84E44" w14:paraId="2F59176A" w14:textId="77777777" w:rsidTr="00B352BD">
        <w:trPr>
          <w:trHeight w:hRule="exact" w:val="737"/>
          <w:jc w:val="center"/>
        </w:trPr>
        <w:tc>
          <w:tcPr>
            <w:tcW w:w="8472" w:type="dxa"/>
            <w:gridSpan w:val="8"/>
            <w:vAlign w:val="center"/>
          </w:tcPr>
          <w:p w14:paraId="763769BA" w14:textId="77777777" w:rsidR="00C84E44" w:rsidRPr="00327F75" w:rsidRDefault="00C84E44" w:rsidP="00C84E44">
            <w:pPr>
              <w:spacing w:line="360" w:lineRule="auto"/>
              <w:jc w:val="center"/>
              <w:rPr>
                <w:rFonts w:ascii="Times New Roman" w:hAnsi="Times New Roman" w:cs="Times New Roman"/>
                <w:sz w:val="24"/>
                <w:szCs w:val="24"/>
              </w:rPr>
            </w:pPr>
            <w:r w:rsidRPr="00327F75">
              <w:rPr>
                <w:rFonts w:ascii="Times New Roman" w:hAnsi="Times New Roman" w:cs="Times New Roman"/>
                <w:sz w:val="24"/>
                <w:szCs w:val="24"/>
              </w:rPr>
              <w:t>合计</w:t>
            </w:r>
          </w:p>
        </w:tc>
        <w:tc>
          <w:tcPr>
            <w:tcW w:w="771" w:type="dxa"/>
            <w:vAlign w:val="center"/>
          </w:tcPr>
          <w:p w14:paraId="46E00825" w14:textId="08A93E94" w:rsidR="00C84E44" w:rsidRPr="00327F75" w:rsidRDefault="00D74E2A" w:rsidP="00C84E44">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9</w:t>
            </w:r>
          </w:p>
        </w:tc>
        <w:tc>
          <w:tcPr>
            <w:tcW w:w="719" w:type="dxa"/>
            <w:vAlign w:val="center"/>
          </w:tcPr>
          <w:p w14:paraId="1BA54BC9" w14:textId="164C6500" w:rsidR="00C84E44" w:rsidRPr="00327F75" w:rsidRDefault="00D74E2A" w:rsidP="00C84E44">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bl>
    <w:p w14:paraId="07E41C98" w14:textId="77777777" w:rsidR="004E070F" w:rsidRPr="002A259D" w:rsidRDefault="004E070F" w:rsidP="00162ADB">
      <w:pPr>
        <w:spacing w:afterLines="50" w:after="156" w:line="400" w:lineRule="exact"/>
      </w:pPr>
    </w:p>
    <w:sectPr w:rsidR="004E070F" w:rsidRPr="002A259D" w:rsidSect="00CE59DA">
      <w:head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F209" w14:textId="77777777" w:rsidR="00FA2D31" w:rsidRDefault="00FA2D31" w:rsidP="00C3790C">
      <w:r>
        <w:separator/>
      </w:r>
    </w:p>
  </w:endnote>
  <w:endnote w:type="continuationSeparator" w:id="0">
    <w:p w14:paraId="7711ACF8" w14:textId="77777777" w:rsidR="00FA2D31" w:rsidRDefault="00FA2D31"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B9B4" w14:textId="77777777" w:rsidR="00FA2D31" w:rsidRDefault="00FA2D31" w:rsidP="00C3790C">
      <w:r>
        <w:separator/>
      </w:r>
    </w:p>
  </w:footnote>
  <w:footnote w:type="continuationSeparator" w:id="0">
    <w:p w14:paraId="135BB582" w14:textId="77777777" w:rsidR="00FA2D31" w:rsidRDefault="00FA2D31" w:rsidP="00C3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123D" w14:textId="77777777" w:rsidR="00AB0296" w:rsidRDefault="00FA2D31"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730A"/>
    <w:multiLevelType w:val="hybridMultilevel"/>
    <w:tmpl w:val="B922D822"/>
    <w:lvl w:ilvl="0" w:tplc="820EC8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9D"/>
    <w:rsid w:val="000001F0"/>
    <w:rsid w:val="00052802"/>
    <w:rsid w:val="001531B7"/>
    <w:rsid w:val="00156CD8"/>
    <w:rsid w:val="00162ADB"/>
    <w:rsid w:val="00180DCB"/>
    <w:rsid w:val="001D056E"/>
    <w:rsid w:val="001E42A8"/>
    <w:rsid w:val="0024445F"/>
    <w:rsid w:val="002756C9"/>
    <w:rsid w:val="0028776E"/>
    <w:rsid w:val="00292D6E"/>
    <w:rsid w:val="002A259D"/>
    <w:rsid w:val="002C1AFA"/>
    <w:rsid w:val="002C3D7F"/>
    <w:rsid w:val="002E440F"/>
    <w:rsid w:val="00311C80"/>
    <w:rsid w:val="003239EF"/>
    <w:rsid w:val="00327F75"/>
    <w:rsid w:val="003E34A5"/>
    <w:rsid w:val="003E731D"/>
    <w:rsid w:val="003F40E6"/>
    <w:rsid w:val="00425288"/>
    <w:rsid w:val="00454EC8"/>
    <w:rsid w:val="00464E71"/>
    <w:rsid w:val="004C2A17"/>
    <w:rsid w:val="004C4C0F"/>
    <w:rsid w:val="004E070F"/>
    <w:rsid w:val="00515CC3"/>
    <w:rsid w:val="0052196B"/>
    <w:rsid w:val="00565152"/>
    <w:rsid w:val="005E07F4"/>
    <w:rsid w:val="005E5F60"/>
    <w:rsid w:val="006023E8"/>
    <w:rsid w:val="00612777"/>
    <w:rsid w:val="00674B35"/>
    <w:rsid w:val="00704237"/>
    <w:rsid w:val="0071033D"/>
    <w:rsid w:val="007113F7"/>
    <w:rsid w:val="00724BE2"/>
    <w:rsid w:val="00724E23"/>
    <w:rsid w:val="00743E48"/>
    <w:rsid w:val="00797AFF"/>
    <w:rsid w:val="007D66E8"/>
    <w:rsid w:val="007F4C64"/>
    <w:rsid w:val="00804217"/>
    <w:rsid w:val="00833F37"/>
    <w:rsid w:val="00844B8A"/>
    <w:rsid w:val="00876BEF"/>
    <w:rsid w:val="008B0526"/>
    <w:rsid w:val="008C2629"/>
    <w:rsid w:val="00940738"/>
    <w:rsid w:val="0097365A"/>
    <w:rsid w:val="00A2137E"/>
    <w:rsid w:val="00A33303"/>
    <w:rsid w:val="00A60C91"/>
    <w:rsid w:val="00A731AC"/>
    <w:rsid w:val="00A9663B"/>
    <w:rsid w:val="00AB7A9B"/>
    <w:rsid w:val="00B04353"/>
    <w:rsid w:val="00B07300"/>
    <w:rsid w:val="00B17AB6"/>
    <w:rsid w:val="00B352BD"/>
    <w:rsid w:val="00C3790C"/>
    <w:rsid w:val="00C61589"/>
    <w:rsid w:val="00C659BD"/>
    <w:rsid w:val="00C73384"/>
    <w:rsid w:val="00C84E44"/>
    <w:rsid w:val="00CA3450"/>
    <w:rsid w:val="00D16F3B"/>
    <w:rsid w:val="00D2133E"/>
    <w:rsid w:val="00D74E2A"/>
    <w:rsid w:val="00D946AE"/>
    <w:rsid w:val="00DA760C"/>
    <w:rsid w:val="00DD18B9"/>
    <w:rsid w:val="00E23BB2"/>
    <w:rsid w:val="00EA367F"/>
    <w:rsid w:val="00EB13DA"/>
    <w:rsid w:val="00EC2988"/>
    <w:rsid w:val="00ED65F3"/>
    <w:rsid w:val="00ED777F"/>
    <w:rsid w:val="00EE5BF8"/>
    <w:rsid w:val="00F032B4"/>
    <w:rsid w:val="00F33358"/>
    <w:rsid w:val="00F40D9D"/>
    <w:rsid w:val="00F65AF1"/>
    <w:rsid w:val="00FA2D31"/>
    <w:rsid w:val="00FE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BC76E"/>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99"/>
    <w:qFormat/>
    <w:rsid w:val="002A259D"/>
    <w:pPr>
      <w:ind w:firstLineChars="200" w:firstLine="420"/>
    </w:pPr>
  </w:style>
  <w:style w:type="paragraph" w:styleId="a8">
    <w:name w:val="footer"/>
    <w:basedOn w:val="a"/>
    <w:link w:val="a9"/>
    <w:uiPriority w:val="99"/>
    <w:unhideWhenUsed/>
    <w:rsid w:val="00704237"/>
    <w:pPr>
      <w:tabs>
        <w:tab w:val="center" w:pos="4153"/>
        <w:tab w:val="right" w:pos="8306"/>
      </w:tabs>
      <w:snapToGrid w:val="0"/>
      <w:jc w:val="left"/>
    </w:pPr>
    <w:rPr>
      <w:sz w:val="18"/>
      <w:szCs w:val="18"/>
    </w:rPr>
  </w:style>
  <w:style w:type="character" w:customStyle="1" w:styleId="a9">
    <w:name w:val="页脚 字符"/>
    <w:basedOn w:val="a0"/>
    <w:link w:val="a8"/>
    <w:uiPriority w:val="99"/>
    <w:rsid w:val="00704237"/>
    <w:rPr>
      <w:sz w:val="18"/>
      <w:szCs w:val="18"/>
    </w:rPr>
  </w:style>
  <w:style w:type="character" w:styleId="aa">
    <w:name w:val="page number"/>
    <w:qFormat/>
    <w:rsid w:val="00464E71"/>
  </w:style>
  <w:style w:type="paragraph" w:styleId="ab">
    <w:name w:val="Plain Text"/>
    <w:link w:val="ac"/>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ac">
    <w:name w:val="纯文本 字符"/>
    <w:basedOn w:val="a0"/>
    <w:link w:val="ab"/>
    <w:qFormat/>
    <w:rsid w:val="00464E71"/>
    <w:rPr>
      <w:rFonts w:ascii="仿宋_GB2312" w:eastAsia="仿宋_GB2312" w:hAnsi="仿宋_GB2312" w:cs="仿宋_GB2312"/>
      <w:color w:val="000000"/>
      <w:sz w:val="24"/>
      <w:szCs w:val="24"/>
      <w:u w:color="000000"/>
      <w:bdr w:val="nil"/>
    </w:rPr>
  </w:style>
  <w:style w:type="paragraph" w:styleId="ad">
    <w:name w:val="No Spacing"/>
    <w:uiPriority w:val="1"/>
    <w:qFormat/>
    <w:rsid w:val="00844B8A"/>
    <w:pPr>
      <w:widowControl w:val="0"/>
      <w:jc w:val="both"/>
    </w:pPr>
  </w:style>
  <w:style w:type="paragraph" w:customStyle="1" w:styleId="p0">
    <w:name w:val="p0"/>
    <w:basedOn w:val="a"/>
    <w:qFormat/>
    <w:rsid w:val="00B352BD"/>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04654-6A4C-4915-9F86-669036F8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380</Words>
  <Characters>2168</Characters>
  <Application>Microsoft Office Word</Application>
  <DocSecurity>0</DocSecurity>
  <Lines>18</Lines>
  <Paragraphs>5</Paragraphs>
  <ScaleCrop>false</ScaleCrop>
  <Company>china</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shi pan</cp:lastModifiedBy>
  <cp:revision>17</cp:revision>
  <dcterms:created xsi:type="dcterms:W3CDTF">2021-09-07T05:43:00Z</dcterms:created>
  <dcterms:modified xsi:type="dcterms:W3CDTF">2021-09-08T02:42:00Z</dcterms:modified>
</cp:coreProperties>
</file>