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5"/>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420"/>
        <w:gridCol w:w="1843"/>
        <w:gridCol w:w="2410"/>
        <w:gridCol w:w="849"/>
        <w:gridCol w:w="1134"/>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9" w:type="pct"/>
            <w:vAlign w:val="center"/>
          </w:tcPr>
          <w:p>
            <w:pPr>
              <w:spacing w:line="300" w:lineRule="exact"/>
              <w:jc w:val="center"/>
              <w:rPr>
                <w:rFonts w:ascii="Times New Roman" w:hAnsi="Times New Roman" w:eastAsia="方正仿宋_GBK" w:cs="Times New Roman"/>
                <w:b/>
                <w:sz w:val="28"/>
                <w:szCs w:val="28"/>
              </w:rPr>
            </w:pPr>
            <w:r>
              <w:rPr>
                <w:rStyle w:val="7"/>
                <w:rFonts w:hint="eastAsia" w:ascii="Times New Roman" w:hAnsi="宋体" w:eastAsia="方正仿宋_GBK" w:cs="Tahoma"/>
                <w:color w:val="000000"/>
                <w:sz w:val="28"/>
                <w:szCs w:val="28"/>
                <w:shd w:val="clear" w:color="auto" w:fill="FFFFFF"/>
              </w:rPr>
              <w:t>成果名称</w:t>
            </w:r>
          </w:p>
        </w:tc>
        <w:tc>
          <w:tcPr>
            <w:tcW w:w="972" w:type="pct"/>
            <w:vAlign w:val="center"/>
          </w:tcPr>
          <w:p>
            <w:pPr>
              <w:spacing w:line="300" w:lineRule="exact"/>
              <w:jc w:val="center"/>
              <w:rPr>
                <w:rFonts w:ascii="Times New Roman" w:hAnsi="Times New Roman" w:eastAsia="方正仿宋_GBK" w:cs="Times New Roman"/>
                <w:b/>
                <w:sz w:val="28"/>
                <w:szCs w:val="28"/>
              </w:rPr>
            </w:pPr>
            <w:r>
              <w:rPr>
                <w:rStyle w:val="7"/>
                <w:rFonts w:hint="eastAsia" w:ascii="Times New Roman" w:hAnsi="宋体" w:eastAsia="方正仿宋_GBK" w:cs="Tahoma"/>
                <w:color w:val="000000"/>
                <w:sz w:val="28"/>
                <w:szCs w:val="28"/>
                <w:shd w:val="clear" w:color="auto" w:fill="FFFFFF"/>
              </w:rPr>
              <w:t>主要完成人</w:t>
            </w:r>
          </w:p>
        </w:tc>
        <w:tc>
          <w:tcPr>
            <w:tcW w:w="1271" w:type="pct"/>
            <w:vAlign w:val="center"/>
          </w:tcPr>
          <w:p>
            <w:pPr>
              <w:spacing w:line="300" w:lineRule="exact"/>
              <w:jc w:val="center"/>
              <w:rPr>
                <w:rFonts w:ascii="Times New Roman" w:hAnsi="Times New Roman" w:eastAsia="方正仿宋_GBK" w:cs="Times New Roman"/>
                <w:b/>
                <w:sz w:val="28"/>
                <w:szCs w:val="28"/>
              </w:rPr>
            </w:pPr>
            <w:r>
              <w:rPr>
                <w:rStyle w:val="7"/>
                <w:rFonts w:hint="eastAsia" w:ascii="Times New Roman" w:hAnsi="宋体" w:eastAsia="方正仿宋_GBK" w:cs="Tahoma"/>
                <w:color w:val="000000"/>
                <w:sz w:val="28"/>
                <w:szCs w:val="28"/>
                <w:shd w:val="clear" w:color="auto" w:fill="FFFFFF"/>
              </w:rPr>
              <w:t>主要完成单位</w:t>
            </w:r>
          </w:p>
        </w:tc>
        <w:tc>
          <w:tcPr>
            <w:tcW w:w="44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9"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拟申报等级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332" w:type="pct"/>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9" w:type="pct"/>
            <w:vAlign w:val="center"/>
          </w:tcPr>
          <w:p>
            <w:pPr>
              <w:spacing w:line="300" w:lineRule="exac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柑橘褐斑病成灾机制及综合防控技术研发与应用</w:t>
            </w:r>
          </w:p>
        </w:tc>
        <w:tc>
          <w:tcPr>
            <w:tcW w:w="972"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唐科志、胡军华、陈 泉、李红叶、乔兴华、汪小伟、王雪峰、陈力、程兰、周常勇</w:t>
            </w:r>
          </w:p>
        </w:tc>
        <w:tc>
          <w:tcPr>
            <w:tcW w:w="1271"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西南大学、重庆市万州区果树技术推广站、浙江大学、重庆三峡农业科学院、重庆市万州区植物保护站</w:t>
            </w:r>
          </w:p>
        </w:tc>
        <w:tc>
          <w:tcPr>
            <w:tcW w:w="448"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科技进步奖</w:t>
            </w:r>
          </w:p>
        </w:tc>
        <w:tc>
          <w:tcPr>
            <w:tcW w:w="598" w:type="pct"/>
            <w:vAlign w:val="center"/>
          </w:tcPr>
          <w:p>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重庆市教育委员会</w:t>
            </w:r>
          </w:p>
        </w:tc>
        <w:tc>
          <w:tcPr>
            <w:tcW w:w="629"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lang w:val="en-US" w:eastAsia="zh-CN"/>
              </w:rPr>
              <w:t>二</w:t>
            </w:r>
            <w:r>
              <w:rPr>
                <w:rFonts w:hint="eastAsia" w:ascii="Times New Roman" w:hAnsi="宋体" w:eastAsia="方正仿宋_GBK"/>
                <w:color w:val="000000"/>
                <w:sz w:val="28"/>
                <w:szCs w:val="28"/>
                <w:shd w:val="clear" w:color="auto" w:fill="FFFFFF"/>
              </w:rPr>
              <w:t>等奖</w:t>
            </w:r>
          </w:p>
        </w:tc>
      </w:tr>
    </w:tbl>
    <w:p>
      <w:pPr>
        <w:rPr>
          <w:rFonts w:ascii="Times New Roman" w:hAnsi="Times New Roman" w:eastAsia="方正仿宋_GBK"/>
          <w:sz w:val="24"/>
          <w:szCs w:val="32"/>
        </w:rPr>
      </w:pPr>
    </w:p>
    <w:p>
      <w:pPr>
        <w:widowControl/>
        <w:jc w:val="left"/>
        <w:rPr>
          <w:rFonts w:ascii="Times New Roman" w:hAnsi="Times New Roman" w:eastAsia="方正仿宋_GBK"/>
          <w:sz w:val="24"/>
          <w:szCs w:val="32"/>
        </w:rPr>
      </w:pPr>
      <w:r>
        <w:rPr>
          <w:rFonts w:ascii="Times New Roman" w:hAnsi="Times New Roman" w:eastAsia="方正仿宋_GBK"/>
          <w:sz w:val="24"/>
          <w:szCs w:val="32"/>
        </w:rPr>
        <w:br w:type="page"/>
      </w:r>
    </w:p>
    <w:p>
      <w:pPr>
        <w:spacing w:after="156" w:afterLines="50" w:line="400" w:lineRule="exact"/>
        <w:rPr>
          <w:rFonts w:ascii="Times New Roman" w:hAnsi="宋体"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二、项目简介</w:t>
      </w:r>
    </w:p>
    <w:p>
      <w:pPr>
        <w:tabs>
          <w:tab w:val="left" w:pos="6552"/>
        </w:tabs>
        <w:spacing w:line="400" w:lineRule="exact"/>
        <w:ind w:firstLine="482"/>
        <w:rPr>
          <w:rFonts w:hint="eastAsia" w:ascii="Times New Roman" w:hAnsi="Times New Roman"/>
          <w:sz w:val="24"/>
          <w:szCs w:val="24"/>
        </w:rPr>
      </w:pPr>
      <w:bookmarkStart w:id="0" w:name="_GoBack"/>
      <w:bookmarkEnd w:id="0"/>
      <w:r>
        <w:rPr>
          <w:rFonts w:hint="eastAsia" w:ascii="Times New Roman" w:hAnsi="Times New Roman"/>
          <w:sz w:val="24"/>
          <w:szCs w:val="24"/>
        </w:rPr>
        <w:t>柑橘是我国第一大水果，亦是重庆农业主导产业。2007年，重庆万州库区突然爆发褐斑病，3年内13万亩红橘全部遭到危害，导致20万农（移）民几近绝收。该病在四川、云南和广西等柑橘主产区宽皮柑橘和杂柑上也相继爆发成灾，损失惨重。为此，本项目历经10年，在病原鉴定、成灾机制和防控技术系统研究与应用方面获得如下原创成果：</w:t>
      </w:r>
    </w:p>
    <w:p>
      <w:pPr>
        <w:tabs>
          <w:tab w:val="left" w:pos="6552"/>
        </w:tabs>
        <w:spacing w:line="400" w:lineRule="exact"/>
        <w:ind w:firstLine="482"/>
        <w:rPr>
          <w:rFonts w:hint="eastAsia" w:ascii="Times New Roman" w:hAnsi="Times New Roman"/>
          <w:b/>
          <w:bCs/>
          <w:sz w:val="24"/>
          <w:szCs w:val="24"/>
        </w:rPr>
      </w:pPr>
      <w:r>
        <w:rPr>
          <w:rFonts w:hint="eastAsia" w:ascii="Times New Roman" w:hAnsi="Times New Roman"/>
          <w:b/>
          <w:bCs/>
          <w:sz w:val="24"/>
          <w:szCs w:val="24"/>
        </w:rPr>
        <w:t>1. 首次鉴定了柑橘褐斑病的病原并完成全基因组分析，阐明了病原与寄主的互作机制</w:t>
      </w:r>
    </w:p>
    <w:p>
      <w:pPr>
        <w:tabs>
          <w:tab w:val="left" w:pos="6552"/>
        </w:tabs>
        <w:spacing w:line="400" w:lineRule="exact"/>
        <w:ind w:firstLine="482"/>
        <w:rPr>
          <w:rFonts w:hint="eastAsia" w:ascii="Times New Roman" w:hAnsi="Times New Roman"/>
          <w:sz w:val="24"/>
          <w:szCs w:val="24"/>
        </w:rPr>
      </w:pPr>
      <w:r>
        <w:rPr>
          <w:rFonts w:hint="eastAsia" w:ascii="Times New Roman" w:hAnsi="Times New Roman"/>
          <w:sz w:val="24"/>
          <w:szCs w:val="24"/>
        </w:rPr>
        <w:t>国内首次明确了危害万州红橘、云南塘房橘、重庆天草和费尔切尔德等品种的病害是柑橘褐斑病，鉴定其致病菌为链格孢菌橘致病型；明确其生物学特性、遗传多态性和毒素作用机理；国际上首次完成该菌的全基因组分析，鉴定出完整的ACT毒素基因簇；建立该菌遗传转化技术体系；解析了蔗糖非发酵（SNF1）蛋白激酶复合体基因、丝氨酸蛋白酶基因、细胞壁降解酶基因、磷酸二酯酶基因和铁离子通透酶基因的功能；获得红橘响应褐斑病菌侵染的差异表达基因；系统筛选出25个效应因子，揭示该菌与寄主的互作机理。</w:t>
      </w:r>
    </w:p>
    <w:p>
      <w:pPr>
        <w:tabs>
          <w:tab w:val="left" w:pos="6552"/>
        </w:tabs>
        <w:spacing w:line="400" w:lineRule="exact"/>
        <w:ind w:firstLine="482"/>
        <w:rPr>
          <w:rFonts w:hint="eastAsia" w:ascii="Times New Roman" w:hAnsi="Times New Roman"/>
          <w:b/>
          <w:bCs/>
          <w:sz w:val="24"/>
          <w:szCs w:val="24"/>
        </w:rPr>
      </w:pPr>
      <w:r>
        <w:rPr>
          <w:rFonts w:hint="eastAsia" w:ascii="Times New Roman" w:hAnsi="Times New Roman"/>
          <w:b/>
          <w:bCs/>
          <w:sz w:val="24"/>
          <w:szCs w:val="24"/>
        </w:rPr>
        <w:t>2. 揭示了柑橘褐斑病的流行规律，建立了抗病性评价体系并筛选出抗性标记</w:t>
      </w:r>
    </w:p>
    <w:p>
      <w:pPr>
        <w:tabs>
          <w:tab w:val="left" w:pos="6552"/>
        </w:tabs>
        <w:spacing w:line="400" w:lineRule="exact"/>
        <w:ind w:firstLine="482"/>
        <w:rPr>
          <w:rFonts w:hint="eastAsia" w:ascii="Times New Roman" w:hAnsi="Times New Roman"/>
          <w:sz w:val="24"/>
          <w:szCs w:val="24"/>
        </w:rPr>
      </w:pPr>
      <w:r>
        <w:rPr>
          <w:rFonts w:hint="eastAsia" w:ascii="Times New Roman" w:hAnsi="Times New Roman"/>
          <w:sz w:val="24"/>
          <w:szCs w:val="24"/>
        </w:rPr>
        <w:t>明确褐斑病菌主要侵染红橘嫩叶、新梢及幼果，3-6月为发病高峰期；建立了室内快速稳定、操作简单的柑橘褐斑病抗性评价方法；鉴定出红橘、爱媛38、金秋砂糖橘等为易感品种；QTL检测到26个与柑橘识别（防御）抗性相关的标记，为抗柑橘褐斑病的分子标记辅助育种奠定了理论基础。</w:t>
      </w:r>
    </w:p>
    <w:p>
      <w:pPr>
        <w:tabs>
          <w:tab w:val="left" w:pos="6552"/>
        </w:tabs>
        <w:spacing w:line="400" w:lineRule="exact"/>
        <w:ind w:firstLine="482"/>
        <w:rPr>
          <w:rFonts w:hint="eastAsia" w:ascii="Times New Roman" w:hAnsi="Times New Roman"/>
          <w:b/>
          <w:bCs/>
          <w:sz w:val="24"/>
          <w:szCs w:val="24"/>
        </w:rPr>
      </w:pPr>
      <w:r>
        <w:rPr>
          <w:rFonts w:hint="eastAsia" w:ascii="Times New Roman" w:hAnsi="Times New Roman"/>
          <w:b/>
          <w:bCs/>
          <w:sz w:val="24"/>
          <w:szCs w:val="24"/>
        </w:rPr>
        <w:t>3. 系统构建了柑橘褐斑病综合防控技术体系</w:t>
      </w:r>
    </w:p>
    <w:p>
      <w:pPr>
        <w:tabs>
          <w:tab w:val="left" w:pos="6552"/>
        </w:tabs>
        <w:spacing w:line="400" w:lineRule="exact"/>
        <w:ind w:firstLine="482"/>
        <w:rPr>
          <w:rFonts w:hint="eastAsia" w:ascii="Times New Roman" w:hAnsi="Times New Roman"/>
          <w:sz w:val="24"/>
          <w:szCs w:val="24"/>
        </w:rPr>
      </w:pPr>
      <w:r>
        <w:rPr>
          <w:rFonts w:hint="eastAsia" w:ascii="Times New Roman" w:hAnsi="Times New Roman"/>
          <w:sz w:val="24"/>
          <w:szCs w:val="24"/>
        </w:rPr>
        <w:t>筛选出吡唑醚菌酯、咪鲜胺、代森锰锌等5种防效显著的药剂；研发出植物源农药、氟喹诺酮类胺基衍生物和头孢类衍生物TM1s等3类新型柑橘褐斑病防治药物；优化了柑橘褐斑病数字化监测预警系统，构建了从无病苗培育到成年果园防治的柑橘褐斑病精准防控技术体系，填补了国内柑橘褐斑病防控技术空白。</w:t>
      </w:r>
    </w:p>
    <w:p>
      <w:pPr>
        <w:tabs>
          <w:tab w:val="left" w:pos="6552"/>
        </w:tabs>
        <w:spacing w:line="400" w:lineRule="exact"/>
        <w:ind w:firstLine="482"/>
        <w:rPr>
          <w:rFonts w:ascii="Times New Roman" w:hAnsi="Times New Roman"/>
          <w:sz w:val="24"/>
          <w:szCs w:val="24"/>
        </w:rPr>
      </w:pPr>
      <w:r>
        <w:rPr>
          <w:rFonts w:hint="eastAsia" w:ascii="Times New Roman" w:hAnsi="Times New Roman"/>
          <w:sz w:val="24"/>
          <w:szCs w:val="24"/>
        </w:rPr>
        <w:t>项目组发表论文53篇，授权发明专利3项，制定技术标准3项，培养研究生15名。成果的应用使柑橘褐斑病爆发流行趋势得到有效遏制。2014-2020年，成果在重庆和其他柑橘产区推广应用207.7万亩，产生经济效益63.1亿元，对保障西南地区柑橘安全生产和农（移）民安稳致富具有重要意义，社会、经济和生态效益显著。成果总体达到国内领先水平，部分研究成果达到国际先进水平。</w:t>
      </w:r>
    </w:p>
    <w:p>
      <w:pPr>
        <w:widowControl/>
        <w:jc w:val="left"/>
        <w:rPr>
          <w:rFonts w:hint="eastAsia" w:ascii="Times New Roman" w:hAnsi="宋体" w:eastAsia="方正仿宋_GBK"/>
          <w:b/>
          <w:color w:val="000000"/>
          <w:sz w:val="28"/>
          <w:szCs w:val="28"/>
          <w:shd w:val="clear" w:color="auto" w:fill="FFFFFF"/>
        </w:rPr>
      </w:pPr>
      <w:r>
        <w:rPr>
          <w:rFonts w:ascii="Times New Roman" w:hAnsi="Times New Roman"/>
          <w:sz w:val="24"/>
          <w:szCs w:val="24"/>
        </w:rPr>
        <w:br w:type="page"/>
      </w:r>
      <w:r>
        <w:rPr>
          <w:rFonts w:hint="eastAsia" w:ascii="Times New Roman" w:hAnsi="宋体" w:eastAsia="方正仿宋_GBK"/>
          <w:b/>
          <w:color w:val="000000"/>
          <w:sz w:val="28"/>
          <w:szCs w:val="28"/>
          <w:shd w:val="clear" w:color="auto" w:fill="FFFFFF"/>
        </w:rPr>
        <w:t>三、主要知识产权和标准规范等目录</w:t>
      </w:r>
    </w:p>
    <w:p>
      <w:pPr>
        <w:rPr>
          <w:rFonts w:ascii="宋体" w:hAnsi="宋体"/>
          <w:sz w:val="24"/>
          <w:szCs w:val="32"/>
        </w:rPr>
      </w:pPr>
    </w:p>
    <w:tbl>
      <w:tblPr>
        <w:tblStyle w:val="4"/>
        <w:tblW w:w="10342" w:type="dxa"/>
        <w:jc w:val="center"/>
        <w:tblLayout w:type="fixed"/>
        <w:tblCellMar>
          <w:top w:w="0" w:type="dxa"/>
          <w:left w:w="108" w:type="dxa"/>
          <w:bottom w:w="0" w:type="dxa"/>
          <w:right w:w="108" w:type="dxa"/>
        </w:tblCellMar>
      </w:tblPr>
      <w:tblGrid>
        <w:gridCol w:w="353"/>
        <w:gridCol w:w="780"/>
        <w:gridCol w:w="2259"/>
        <w:gridCol w:w="851"/>
        <w:gridCol w:w="850"/>
        <w:gridCol w:w="1276"/>
        <w:gridCol w:w="764"/>
        <w:gridCol w:w="960"/>
        <w:gridCol w:w="2249"/>
      </w:tblGrid>
      <w:tr>
        <w:tblPrEx>
          <w:tblCellMar>
            <w:top w:w="0" w:type="dxa"/>
            <w:left w:w="108" w:type="dxa"/>
            <w:bottom w:w="0" w:type="dxa"/>
            <w:right w:w="108" w:type="dxa"/>
          </w:tblCellMar>
        </w:tblPrEx>
        <w:trPr>
          <w:trHeight w:val="680" w:hRule="atLeast"/>
          <w:jc w:val="center"/>
        </w:trPr>
        <w:tc>
          <w:tcPr>
            <w:tcW w:w="353" w:type="dxa"/>
            <w:tcBorders>
              <w:top w:val="single" w:color="000000" w:sz="8" w:space="0"/>
              <w:left w:val="single" w:color="000000" w:sz="8" w:space="0"/>
              <w:bottom w:val="single" w:color="000000" w:sz="8" w:space="0"/>
              <w:right w:val="single" w:color="000000" w:sz="8" w:space="0"/>
            </w:tcBorders>
          </w:tcPr>
          <w:p>
            <w:pPr>
              <w:rPr>
                <w:b/>
              </w:rPr>
            </w:pPr>
          </w:p>
          <w:p>
            <w:pPr>
              <w:rPr>
                <w:b/>
              </w:rPr>
            </w:pPr>
            <w:r>
              <w:rPr>
                <w:rFonts w:hint="eastAsia"/>
                <w:b/>
              </w:rPr>
              <w:t>序号</w:t>
            </w:r>
          </w:p>
        </w:tc>
        <w:tc>
          <w:tcPr>
            <w:tcW w:w="780" w:type="dxa"/>
            <w:tcBorders>
              <w:top w:val="single" w:color="000000" w:sz="8" w:space="0"/>
              <w:left w:val="single" w:color="000000" w:sz="8" w:space="0"/>
              <w:bottom w:val="single" w:color="000000" w:sz="8" w:space="0"/>
              <w:right w:val="single" w:color="000000" w:sz="8" w:space="0"/>
            </w:tcBorders>
            <w:vAlign w:val="center"/>
          </w:tcPr>
          <w:p>
            <w:pPr>
              <w:rPr>
                <w:b/>
              </w:rPr>
            </w:pPr>
            <w:r>
              <w:rPr>
                <w:b/>
              </w:rPr>
              <w:t>知识产权类别</w:t>
            </w:r>
          </w:p>
        </w:tc>
        <w:tc>
          <w:tcPr>
            <w:tcW w:w="2259" w:type="dxa"/>
            <w:tcBorders>
              <w:top w:val="single" w:color="000000" w:sz="8" w:space="0"/>
              <w:left w:val="nil"/>
              <w:bottom w:val="single" w:color="000000" w:sz="8" w:space="0"/>
              <w:right w:val="single" w:color="000000" w:sz="8" w:space="0"/>
            </w:tcBorders>
            <w:vAlign w:val="center"/>
          </w:tcPr>
          <w:p>
            <w:pPr>
              <w:rPr>
                <w:b/>
              </w:rPr>
            </w:pPr>
            <w:r>
              <w:rPr>
                <w:b/>
              </w:rPr>
              <w:t>知识产权具体名称</w:t>
            </w:r>
          </w:p>
        </w:tc>
        <w:tc>
          <w:tcPr>
            <w:tcW w:w="851" w:type="dxa"/>
            <w:tcBorders>
              <w:top w:val="single" w:color="000000" w:sz="8" w:space="0"/>
              <w:left w:val="nil"/>
              <w:bottom w:val="single" w:color="000000" w:sz="8" w:space="0"/>
              <w:right w:val="single" w:color="000000" w:sz="8" w:space="0"/>
            </w:tcBorders>
            <w:vAlign w:val="center"/>
          </w:tcPr>
          <w:p>
            <w:pPr>
              <w:rPr>
                <w:b/>
              </w:rPr>
            </w:pPr>
            <w:r>
              <w:rPr>
                <w:b/>
              </w:rPr>
              <w:t>国家</w:t>
            </w:r>
          </w:p>
          <w:p>
            <w:pPr>
              <w:rPr>
                <w:b/>
              </w:rPr>
            </w:pPr>
            <w:r>
              <w:rPr>
                <w:b/>
              </w:rPr>
              <w:t>（地区）</w:t>
            </w:r>
          </w:p>
        </w:tc>
        <w:tc>
          <w:tcPr>
            <w:tcW w:w="850" w:type="dxa"/>
            <w:tcBorders>
              <w:top w:val="single" w:color="000000" w:sz="8" w:space="0"/>
              <w:left w:val="nil"/>
              <w:bottom w:val="single" w:color="000000" w:sz="8" w:space="0"/>
              <w:right w:val="single" w:color="000000" w:sz="8" w:space="0"/>
            </w:tcBorders>
            <w:vAlign w:val="center"/>
          </w:tcPr>
          <w:p>
            <w:pPr>
              <w:rPr>
                <w:b/>
              </w:rPr>
            </w:pPr>
            <w:r>
              <w:rPr>
                <w:b/>
              </w:rPr>
              <w:t>授权号</w:t>
            </w:r>
          </w:p>
        </w:tc>
        <w:tc>
          <w:tcPr>
            <w:tcW w:w="1276" w:type="dxa"/>
            <w:tcBorders>
              <w:top w:val="single" w:color="000000" w:sz="8" w:space="0"/>
              <w:left w:val="nil"/>
              <w:bottom w:val="single" w:color="000000" w:sz="8" w:space="0"/>
              <w:right w:val="single" w:color="000000" w:sz="8" w:space="0"/>
            </w:tcBorders>
            <w:vAlign w:val="center"/>
          </w:tcPr>
          <w:p>
            <w:pPr>
              <w:rPr>
                <w:b/>
              </w:rPr>
            </w:pPr>
            <w:r>
              <w:rPr>
                <w:b/>
              </w:rPr>
              <w:t>授权日期</w:t>
            </w:r>
          </w:p>
        </w:tc>
        <w:tc>
          <w:tcPr>
            <w:tcW w:w="764" w:type="dxa"/>
            <w:tcBorders>
              <w:top w:val="single" w:color="000000" w:sz="8" w:space="0"/>
              <w:left w:val="nil"/>
              <w:bottom w:val="single" w:color="000000" w:sz="8" w:space="0"/>
              <w:right w:val="single" w:color="000000" w:sz="8" w:space="0"/>
            </w:tcBorders>
            <w:vAlign w:val="center"/>
          </w:tcPr>
          <w:p>
            <w:pPr>
              <w:rPr>
                <w:b/>
              </w:rPr>
            </w:pPr>
            <w:r>
              <w:rPr>
                <w:b/>
              </w:rPr>
              <w:t>证书编号</w:t>
            </w:r>
          </w:p>
        </w:tc>
        <w:tc>
          <w:tcPr>
            <w:tcW w:w="960" w:type="dxa"/>
            <w:tcBorders>
              <w:top w:val="single" w:color="000000" w:sz="8" w:space="0"/>
              <w:left w:val="nil"/>
              <w:bottom w:val="single" w:color="000000" w:sz="8" w:space="0"/>
              <w:right w:val="single" w:color="000000" w:sz="8" w:space="0"/>
            </w:tcBorders>
            <w:vAlign w:val="center"/>
          </w:tcPr>
          <w:p>
            <w:pPr>
              <w:rPr>
                <w:b/>
              </w:rPr>
            </w:pPr>
            <w:r>
              <w:rPr>
                <w:b/>
              </w:rPr>
              <w:t>权利人</w:t>
            </w:r>
          </w:p>
        </w:tc>
        <w:tc>
          <w:tcPr>
            <w:tcW w:w="2249" w:type="dxa"/>
            <w:tcBorders>
              <w:top w:val="single" w:color="000000" w:sz="8" w:space="0"/>
              <w:left w:val="nil"/>
              <w:bottom w:val="single" w:color="000000" w:sz="8" w:space="0"/>
              <w:right w:val="single" w:color="000000" w:sz="8" w:space="0"/>
            </w:tcBorders>
            <w:vAlign w:val="center"/>
          </w:tcPr>
          <w:p>
            <w:pPr>
              <w:rPr>
                <w:b/>
              </w:rPr>
            </w:pPr>
            <w:r>
              <w:rPr>
                <w:b/>
              </w:rPr>
              <w:t>发明人</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1</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红橘褐斑病病原鉴定</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ind w:firstLine="210" w:firstLineChars="100"/>
              <w:jc w:val="both"/>
              <w:rPr>
                <w:rFonts w:hint="default" w:ascii="Times New Roman" w:hAnsi="Times New Roman" w:eastAsia="宋体" w:cs="Times New Roman"/>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E-BZ" w:cs="Times New Roman"/>
                <w:color w:val="000000"/>
                <w:kern w:val="0"/>
                <w:sz w:val="21"/>
                <w:szCs w:val="21"/>
                <w:lang w:val="en-US" w:eastAsia="zh-CN" w:bidi="ar"/>
              </w:rPr>
              <w:t xml:space="preserve">2011-08-07 </w:t>
            </w:r>
          </w:p>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bidi="ar-SA"/>
              </w:rPr>
              <w:t>浙江大学</w:t>
            </w:r>
          </w:p>
        </w:tc>
        <w:tc>
          <w:tcPr>
            <w:tcW w:w="224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F5" w:cs="Times New Roman"/>
                <w:color w:val="000000"/>
                <w:kern w:val="0"/>
                <w:sz w:val="21"/>
                <w:szCs w:val="21"/>
                <w:lang w:val="en-US" w:eastAsia="zh-CN" w:bidi="ar"/>
              </w:rPr>
              <w:t>陈昌胜，黄 峰，程 兰，冯春刚，黄涛江，李红叶</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地方标准</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红桔褐斑病防控技术规程</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黑体" w:cs="Times New Roman"/>
                <w:color w:val="000000"/>
                <w:kern w:val="0"/>
                <w:sz w:val="21"/>
                <w:szCs w:val="21"/>
                <w:lang w:val="en-US" w:eastAsia="zh-CN" w:bidi="ar"/>
              </w:rPr>
              <w:t>DB 500101/T 012</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黑体" w:cs="Times New Roman"/>
                <w:color w:val="000000"/>
                <w:kern w:val="0"/>
                <w:sz w:val="21"/>
                <w:szCs w:val="21"/>
                <w:lang w:val="en-US" w:eastAsia="zh-CN" w:bidi="ar"/>
              </w:rPr>
              <w:t>2016</w:t>
            </w:r>
          </w:p>
        </w:tc>
        <w:tc>
          <w:tcPr>
            <w:tcW w:w="1276"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F5" w:cs="Times New Roman"/>
                <w:color w:val="000000"/>
                <w:kern w:val="0"/>
                <w:sz w:val="21"/>
                <w:szCs w:val="21"/>
                <w:lang w:val="en-US" w:eastAsia="zh-CN" w:bidi="ar"/>
              </w:rPr>
              <w:t>2016.4.18</w:t>
            </w:r>
          </w:p>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F5" w:cs="Times New Roman"/>
                <w:color w:val="000000"/>
                <w:kern w:val="0"/>
                <w:sz w:val="21"/>
                <w:szCs w:val="21"/>
                <w:lang w:val="en-US" w:eastAsia="zh-CN" w:bidi="ar"/>
              </w:rPr>
              <w:t>重庆市万州区果树技术推广站</w:t>
            </w:r>
          </w:p>
        </w:tc>
        <w:tc>
          <w:tcPr>
            <w:tcW w:w="224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left"/>
              <w:rPr>
                <w:rFonts w:hint="default" w:ascii="Times New Roman" w:hAnsi="Times New Roman" w:cs="Times New Roman" w:eastAsiaTheme="minorEastAsia"/>
                <w:kern w:val="0"/>
                <w:sz w:val="21"/>
                <w:szCs w:val="21"/>
                <w:lang w:val="en-US" w:eastAsia="zh-CN" w:bidi="ar-SA"/>
              </w:rPr>
            </w:pPr>
            <w:r>
              <w:rPr>
                <w:rFonts w:ascii="F5" w:hAnsi="F5" w:eastAsia="F5" w:cs="F5"/>
                <w:color w:val="000000"/>
                <w:kern w:val="0"/>
                <w:sz w:val="21"/>
                <w:szCs w:val="21"/>
                <w:lang w:val="en-US" w:eastAsia="zh-CN" w:bidi="ar"/>
              </w:rPr>
              <w:t>程 兰</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汪小伟</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许兴权</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汪明昌</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刘兴凡</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陈克富</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邵黎敏</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冉丛文</w:t>
            </w:r>
            <w:r>
              <w:rPr>
                <w:rFonts w:hint="eastAsia" w:ascii="F5" w:hAnsi="F5" w:eastAsia="F5" w:cs="F5"/>
                <w:color w:val="000000"/>
                <w:kern w:val="0"/>
                <w:sz w:val="21"/>
                <w:szCs w:val="21"/>
                <w:lang w:val="en-US" w:eastAsia="zh-CN" w:bidi="ar"/>
              </w:rPr>
              <w:t>，</w:t>
            </w:r>
            <w:r>
              <w:rPr>
                <w:rFonts w:ascii="F5" w:hAnsi="F5" w:eastAsia="F5" w:cs="F5"/>
                <w:color w:val="000000"/>
                <w:kern w:val="0"/>
                <w:sz w:val="21"/>
                <w:szCs w:val="21"/>
                <w:lang w:val="en-US" w:eastAsia="zh-CN" w:bidi="ar"/>
              </w:rPr>
              <w:t>周 伟</w:t>
            </w:r>
            <w:r>
              <w:rPr>
                <w:rFonts w:hint="eastAsia" w:ascii="F5" w:hAnsi="F5" w:eastAsia="F5" w:cs="F5"/>
                <w:color w:val="000000"/>
                <w:kern w:val="0"/>
                <w:sz w:val="21"/>
                <w:szCs w:val="21"/>
                <w:lang w:val="en-US" w:eastAsia="zh-CN" w:bidi="ar"/>
              </w:rPr>
              <w:t>，</w:t>
            </w:r>
            <w:r>
              <w:rPr>
                <w:rFonts w:hint="default" w:ascii="F5" w:hAnsi="F5" w:eastAsia="F5" w:cs="F5"/>
                <w:color w:val="000000"/>
                <w:kern w:val="0"/>
                <w:sz w:val="21"/>
                <w:szCs w:val="21"/>
                <w:lang w:val="en-US" w:eastAsia="zh-CN" w:bidi="ar"/>
              </w:rPr>
              <w:t>张洪伟</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Genomic and ranscriptomic analyses of the tangerine pathotype of Alternaria alternata in response to oxidative stress</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cs="Times New Roman"/>
                <w:kern w:val="0"/>
                <w:sz w:val="21"/>
                <w:szCs w:val="21"/>
                <w:lang w:val="en-US" w:eastAsia="zh-CN" w:bidi="ar-SA"/>
              </w:rPr>
            </w:pPr>
          </w:p>
          <w:p>
            <w:pPr>
              <w:widowControl/>
              <w:spacing w:line="360" w:lineRule="auto"/>
              <w:jc w:val="center"/>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bidi="ar-SA"/>
              </w:rPr>
              <w:t>2016.9.1</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bidi="ar-SA"/>
              </w:rPr>
              <w:t>浙江大学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F5" w:cs="Times New Roman"/>
                <w:color w:val="000000"/>
                <w:kern w:val="0"/>
                <w:sz w:val="21"/>
                <w:szCs w:val="21"/>
                <w:lang w:val="en-US" w:eastAsia="zh-CN" w:bidi="ar"/>
              </w:rPr>
            </w:pPr>
            <w:r>
              <w:rPr>
                <w:rFonts w:hint="default" w:ascii="Times New Roman" w:hAnsi="Times New Roman" w:eastAsia="宋体" w:cs="Times New Roman"/>
                <w:kern w:val="0"/>
                <w:sz w:val="21"/>
                <w:szCs w:val="21"/>
                <w:lang w:val="en-US" w:eastAsia="zh-CN"/>
              </w:rPr>
              <w:t>MingshuangWang</w:t>
            </w:r>
            <w:r>
              <w:rPr>
                <w:rFonts w:hint="default" w:ascii="Times New Roman" w:hAnsi="Times New Roman" w:eastAsia="F5" w:cs="Times New Roman"/>
                <w:color w:val="000000"/>
                <w:kern w:val="0"/>
                <w:sz w:val="21"/>
                <w:szCs w:val="21"/>
                <w:lang w:val="en-US" w:eastAsia="zh-CN" w:bidi="ar"/>
              </w:rPr>
              <w:t xml:space="preserve">, Xuepeng Sun, DongliangYu, JianpingXu, KuangrenChung， </w:t>
            </w:r>
          </w:p>
          <w:p>
            <w:pPr>
              <w:widowControl/>
              <w:spacing w:line="360" w:lineRule="auto"/>
              <w:jc w:val="center"/>
              <w:rPr>
                <w:rFonts w:hint="default" w:ascii="Times New Roman" w:hAnsi="Times New Roman" w:eastAsia="F5" w:cs="Times New Roman"/>
                <w:color w:val="000000"/>
                <w:kern w:val="0"/>
                <w:sz w:val="21"/>
                <w:szCs w:val="21"/>
                <w:lang w:val="en-US" w:eastAsia="zh-CN" w:bidi="ar"/>
              </w:rPr>
            </w:pPr>
            <w:r>
              <w:rPr>
                <w:rFonts w:hint="default" w:ascii="Times New Roman" w:hAnsi="Times New Roman" w:eastAsia="F5" w:cs="Times New Roman"/>
                <w:color w:val="000000"/>
                <w:kern w:val="0"/>
                <w:sz w:val="21"/>
                <w:szCs w:val="21"/>
                <w:lang w:val="en-US" w:eastAsia="zh-CN" w:bidi="ar"/>
              </w:rPr>
              <w:t>Hongye Li</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First Report of lternaria Brown Spot of Citrus Caused by Alternaria alternata in Yunnan Province, China</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2010.3.8</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F5" w:cs="Times New Roman"/>
                <w:color w:val="000000"/>
                <w:kern w:val="0"/>
                <w:sz w:val="21"/>
                <w:szCs w:val="21"/>
                <w:lang w:val="en-US" w:eastAsia="zh-CN" w:bidi="ar"/>
              </w:rPr>
            </w:pPr>
            <w:r>
              <w:rPr>
                <w:rFonts w:hint="default" w:ascii="Times New Roman" w:hAnsi="Times New Roman" w:eastAsia="F5" w:cs="Times New Roman"/>
                <w:color w:val="000000"/>
                <w:kern w:val="0"/>
                <w:sz w:val="21"/>
                <w:szCs w:val="21"/>
                <w:lang w:val="en-US" w:eastAsia="zh-CN" w:bidi="ar"/>
              </w:rPr>
              <w:t xml:space="preserve">X. F. Wang, </w:t>
            </w:r>
          </w:p>
          <w:p>
            <w:pPr>
              <w:widowControl/>
              <w:spacing w:line="36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F5" w:cs="Times New Roman"/>
                <w:color w:val="000000"/>
                <w:kern w:val="0"/>
                <w:sz w:val="21"/>
                <w:szCs w:val="21"/>
                <w:lang w:val="en-US" w:eastAsia="zh-CN" w:bidi="ar"/>
              </w:rPr>
              <w:t>Z. A. Li, K. Z. Tang,  C. Y. Zhou</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Pdel, Encoding a Low-Affinity cAMP Phosphodiesterase, Regulates Conidiation and Pathogenesis in Alternaria alternata Tangerine</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ind w:firstLine="210" w:firstLineChars="100"/>
              <w:jc w:val="both"/>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2020.11.16</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Weiwei Lv, Xiangwen Kong,Changyong Zhou</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rPr>
              <w:t xml:space="preserve"> Kezhi Tang</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6</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柑橘褐斑病菌原生质体制备与再生条件的优化</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2018.5.11</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孔向雯</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唐飞艳</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吕韦玮</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张倩</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唐科志</w:t>
            </w:r>
          </w:p>
        </w:tc>
      </w:tr>
      <w:tr>
        <w:tblPrEx>
          <w:tblCellMar>
            <w:top w:w="0" w:type="dxa"/>
            <w:left w:w="108" w:type="dxa"/>
            <w:bottom w:w="0" w:type="dxa"/>
            <w:right w:w="108" w:type="dxa"/>
          </w:tblCellMar>
        </w:tblPrEx>
        <w:trPr>
          <w:trHeight w:val="68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7</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eastAsia="zh-CN"/>
              </w:rPr>
              <w:t>其他</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Cell-Wall-Degrading Enzymes Required for Virulence in the Host Selective Toxin-Producing Necrotroph Alternaria alternata of Citrus</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cs="Times New Roman" w:eastAsiaTheme="minorEastAsia"/>
                <w:kern w:val="0"/>
                <w:sz w:val="21"/>
                <w:szCs w:val="21"/>
                <w:lang w:val="en-US" w:eastAsia="zh-CN" w:bidi="ar-SA"/>
              </w:rPr>
            </w:pP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2019.11.22</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ind w:firstLine="420" w:firstLineChars="0"/>
              <w:jc w:val="center"/>
              <w:rPr>
                <w:rFonts w:hint="default" w:ascii="Times New Roman" w:hAnsi="Times New Roman" w:cs="Times New Roman" w:eastAsiaTheme="minorEastAsia"/>
                <w:kern w:val="0"/>
                <w:sz w:val="21"/>
                <w:szCs w:val="21"/>
                <w:lang w:val="en-US" w:eastAsia="zh-CN" w:bidi="ar-SA"/>
              </w:rPr>
            </w:pP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bidi="ar-SA"/>
              </w:rPr>
              <w:t>浙江大学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both"/>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Haijie Ma, Bin Zhang, Yunpeng Gai, Xuepeng Sun,Kuang-Ren Chung</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Hongye Li</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8</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发明专利权</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rPr>
                <w:rFonts w:hint="default" w:ascii="Times New Roman" w:hAnsi="Times New Roman" w:eastAsia="Verdana-Bold" w:cs="Times New Roman"/>
                <w:b w:val="0"/>
                <w:bCs w:val="0"/>
                <w:color w:val="000000"/>
                <w:kern w:val="0"/>
                <w:sz w:val="21"/>
                <w:szCs w:val="21"/>
                <w:lang w:val="en-US" w:eastAsia="zh-CN" w:bidi="ar"/>
              </w:rPr>
            </w:pPr>
            <w:r>
              <w:rPr>
                <w:rFonts w:hint="default" w:ascii="Times New Roman" w:hAnsi="Times New Roman" w:eastAsia="Verdana-Bold" w:cs="Times New Roman"/>
                <w:b w:val="0"/>
                <w:bCs w:val="0"/>
                <w:color w:val="000000"/>
                <w:kern w:val="0"/>
                <w:sz w:val="21"/>
                <w:szCs w:val="21"/>
                <w:lang w:val="en-US" w:eastAsia="zh-CN" w:bidi="ar"/>
              </w:rPr>
              <w:t>氟喹诺酮类氨基衍生物及其防治柑橘病害的用途</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bidi="ar-SA"/>
              </w:rPr>
              <w:t>中国</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ZL</w:t>
            </w:r>
            <w:r>
              <w:rPr>
                <w:rFonts w:hint="default" w:ascii="Times New Roman" w:hAnsi="Times New Roman" w:cs="Times New Roman"/>
                <w:kern w:val="0"/>
                <w:sz w:val="21"/>
                <w:szCs w:val="21"/>
              </w:rPr>
              <w:t>201711102891</w:t>
            </w:r>
            <w:r>
              <w:rPr>
                <w:rFonts w:hint="default" w:ascii="Times New Roman" w:hAnsi="Times New Roman" w:cs="Times New Roman"/>
                <w:kern w:val="0"/>
                <w:sz w:val="21"/>
                <w:szCs w:val="21"/>
                <w:lang w:val="en-US" w:eastAsia="zh-CN"/>
              </w:rPr>
              <w:t>.1</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2021-08-03</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4594732</w:t>
            </w: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eastAsia"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胡军华，杨大成，范莉，龙艳玲，冯计周，黄敏，王帆，刘文，刘洁，陈菲菲，刘晋宇，张泽朝，杨真，张金坤，谌阳，陈思雅</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9</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eastAsia="zh-CN"/>
              </w:rPr>
              <w:t>发明专利权</w:t>
            </w:r>
          </w:p>
        </w:tc>
        <w:tc>
          <w:tcPr>
            <w:tcW w:w="2259"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eastAsia" w:ascii="Times New Roman" w:hAnsi="Times New Roman" w:eastAsia="宋体" w:cs="Times New Roman"/>
                <w:kern w:val="0"/>
                <w:sz w:val="21"/>
                <w:szCs w:val="21"/>
                <w:lang w:eastAsia="zh-CN"/>
              </w:rPr>
              <w:t>一种抑菌农药组合物及其用途</w:t>
            </w:r>
          </w:p>
        </w:tc>
        <w:tc>
          <w:tcPr>
            <w:tcW w:w="851" w:type="dxa"/>
            <w:tcBorders>
              <w:top w:val="single" w:color="000000" w:sz="8" w:space="0"/>
              <w:left w:val="nil"/>
              <w:bottom w:val="single" w:color="000000" w:sz="8" w:space="0"/>
              <w:right w:val="single" w:color="000000" w:sz="8" w:space="0"/>
            </w:tcBorders>
            <w:vAlign w:val="center"/>
          </w:tcPr>
          <w:p>
            <w:pPr>
              <w:autoSpaceDE w:val="0"/>
              <w:autoSpaceDN w:val="0"/>
              <w:adjustRightInd w:val="0"/>
              <w:spacing w:line="0" w:lineRule="atLeast"/>
              <w:ind w:left="-107" w:leftChars="-51" w:right="-107" w:rightChars="-51"/>
              <w:jc w:val="center"/>
            </w:pPr>
            <w:r>
              <w:rPr>
                <w:rFonts w:hint="default" w:ascii="Times New Roman" w:hAnsi="Times New Roman" w:cs="Times New Roman"/>
                <w:kern w:val="0"/>
                <w:sz w:val="21"/>
                <w:szCs w:val="21"/>
                <w:lang w:eastAsia="zh-CN"/>
              </w:rPr>
              <w:t>中国</w:t>
            </w:r>
          </w:p>
        </w:tc>
        <w:tc>
          <w:tcPr>
            <w:tcW w:w="850" w:type="dxa"/>
            <w:tcBorders>
              <w:top w:val="single" w:color="000000" w:sz="8" w:space="0"/>
              <w:left w:val="nil"/>
              <w:bottom w:val="single" w:color="000000" w:sz="8" w:space="0"/>
              <w:right w:val="single" w:color="000000" w:sz="8" w:space="0"/>
            </w:tcBorders>
            <w:vAlign w:val="center"/>
          </w:tcPr>
          <w:p>
            <w:pPr>
              <w:autoSpaceDE w:val="0"/>
              <w:autoSpaceDN w:val="0"/>
              <w:adjustRightInd w:val="0"/>
              <w:spacing w:line="0" w:lineRule="atLeast"/>
              <w:ind w:left="-107" w:leftChars="-51" w:right="-107" w:rightChars="-51"/>
              <w:jc w:val="center"/>
            </w:pPr>
            <w:r>
              <w:rPr>
                <w:rFonts w:hint="eastAsia" w:ascii="Times New Roman" w:eastAsia="仿宋_GB2312"/>
                <w:kern w:val="0"/>
                <w:szCs w:val="21"/>
                <w:lang w:val="en-US" w:eastAsia="zh-CN"/>
              </w:rPr>
              <w:t>ZL 201510680855.8</w:t>
            </w:r>
          </w:p>
        </w:tc>
        <w:tc>
          <w:tcPr>
            <w:tcW w:w="1276" w:type="dxa"/>
            <w:tcBorders>
              <w:top w:val="single" w:color="000000" w:sz="8" w:space="0"/>
              <w:left w:val="nil"/>
              <w:bottom w:val="single" w:color="000000" w:sz="8" w:space="0"/>
              <w:right w:val="single" w:color="000000" w:sz="8" w:space="0"/>
            </w:tcBorders>
            <w:vAlign w:val="center"/>
          </w:tcPr>
          <w:p>
            <w:pPr>
              <w:autoSpaceDE w:val="0"/>
              <w:autoSpaceDN w:val="0"/>
              <w:adjustRightInd w:val="0"/>
              <w:spacing w:line="0" w:lineRule="atLeast"/>
              <w:ind w:left="-103" w:leftChars="-49"/>
              <w:jc w:val="center"/>
            </w:pPr>
            <w:r>
              <w:rPr>
                <w:rFonts w:hint="eastAsia" w:eastAsia="仿宋_GB2312" w:cs="Times New Roman"/>
                <w:kern w:val="0"/>
                <w:sz w:val="21"/>
                <w:szCs w:val="21"/>
                <w:lang w:val="en-US" w:eastAsia="zh-CN" w:bidi="ar-SA"/>
              </w:rPr>
              <w:t>2017.10.17</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eastAsia" w:cs="Times New Roman"/>
                <w:kern w:val="0"/>
                <w:sz w:val="21"/>
                <w:szCs w:val="21"/>
                <w:lang w:val="en-US" w:eastAsia="zh-CN" w:bidi="ar-SA"/>
              </w:rPr>
              <w:t>2658188</w:t>
            </w:r>
          </w:p>
        </w:tc>
        <w:tc>
          <w:tcPr>
            <w:tcW w:w="960" w:type="dxa"/>
            <w:tcBorders>
              <w:top w:val="single" w:color="000000" w:sz="8" w:space="0"/>
              <w:left w:val="nil"/>
              <w:bottom w:val="single" w:color="000000" w:sz="8" w:space="0"/>
              <w:right w:val="single" w:color="000000" w:sz="8" w:space="0"/>
            </w:tcBorders>
            <w:vAlign w:val="center"/>
          </w:tcPr>
          <w:p>
            <w:pPr>
              <w:autoSpaceDE w:val="0"/>
              <w:autoSpaceDN w:val="0"/>
              <w:adjustRightInd w:val="0"/>
              <w:spacing w:line="0" w:lineRule="atLeast"/>
              <w:ind w:left="-103" w:leftChars="-49"/>
              <w:jc w:val="cente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eastAsia" w:ascii="Times New Roman" w:hAnsi="Times New Roman" w:eastAsia="宋体" w:cs="Times New Roman"/>
                <w:kern w:val="0"/>
                <w:sz w:val="21"/>
                <w:szCs w:val="21"/>
                <w:lang w:val="en-US" w:eastAsia="zh-CN"/>
              </w:rPr>
              <w:t>胡军华，姚廷山，刘浩强，李鸿筠，冉春</w:t>
            </w:r>
          </w:p>
        </w:tc>
      </w:tr>
      <w:tr>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tcPr>
          <w:p>
            <w:r>
              <w:rPr>
                <w:rFonts w:hint="eastAsia"/>
              </w:rPr>
              <w:t>1</w:t>
            </w:r>
            <w:r>
              <w:t>0</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eastAsia="zh-CN"/>
              </w:rPr>
              <w:t>发明专利权</w:t>
            </w:r>
          </w:p>
        </w:tc>
        <w:tc>
          <w:tcPr>
            <w:tcW w:w="225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pPr>
            <w:r>
              <w:rPr>
                <w:rFonts w:hint="default" w:ascii="Times New Roman" w:hAnsi="Times New Roman" w:eastAsia="Verdana-Bold" w:cs="Times New Roman"/>
                <w:b w:val="0"/>
                <w:bCs w:val="0"/>
                <w:color w:val="000000"/>
                <w:kern w:val="0"/>
                <w:sz w:val="21"/>
                <w:szCs w:val="21"/>
                <w:lang w:val="en-US" w:eastAsia="zh-CN" w:bidi="ar"/>
              </w:rPr>
              <w:t>氟喹诺酮类胺基衍生物及其用途</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val="en-US" w:eastAsia="zh-CN" w:bidi="ar-SA"/>
              </w:rPr>
              <w:t>中国</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val="en-US" w:eastAsia="zh-CN"/>
              </w:rPr>
              <w:t>ZL</w:t>
            </w:r>
            <w:r>
              <w:rPr>
                <w:rFonts w:hint="default" w:ascii="Times New Roman" w:hAnsi="Times New Roman" w:cs="Times New Roman"/>
                <w:kern w:val="0"/>
                <w:sz w:val="21"/>
                <w:szCs w:val="21"/>
              </w:rPr>
              <w:t>201711102862</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val="en-US" w:eastAsia="zh-CN"/>
              </w:rPr>
              <w:t>2021.2.19</w:t>
            </w:r>
          </w:p>
        </w:tc>
        <w:tc>
          <w:tcPr>
            <w:tcW w:w="764"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val="en-US" w:eastAsia="zh-CN"/>
              </w:rPr>
              <w:t>4260104</w:t>
            </w:r>
          </w:p>
        </w:tc>
        <w:tc>
          <w:tcPr>
            <w:tcW w:w="960"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val="en-US" w:eastAsia="zh-CN"/>
              </w:rPr>
              <w:t>西南大学</w:t>
            </w:r>
          </w:p>
        </w:tc>
        <w:tc>
          <w:tcPr>
            <w:tcW w:w="2249" w:type="dxa"/>
            <w:tcBorders>
              <w:top w:val="single" w:color="000000" w:sz="8" w:space="0"/>
              <w:left w:val="nil"/>
              <w:bottom w:val="single" w:color="000000" w:sz="8" w:space="0"/>
              <w:right w:val="single" w:color="000000" w:sz="8" w:space="0"/>
            </w:tcBorders>
            <w:vAlign w:val="center"/>
          </w:tcPr>
          <w:p>
            <w:pPr>
              <w:widowControl/>
              <w:spacing w:line="360" w:lineRule="auto"/>
              <w:jc w:val="center"/>
            </w:pPr>
            <w:r>
              <w:rPr>
                <w:rFonts w:hint="default" w:ascii="Times New Roman" w:hAnsi="Times New Roman" w:cs="Times New Roman"/>
                <w:kern w:val="0"/>
                <w:sz w:val="21"/>
                <w:szCs w:val="21"/>
                <w:lang w:eastAsia="zh-CN"/>
              </w:rPr>
              <w:t>杨大成，冯计周，范莉，黄敏，谢建平，刘洁，胡军华，陈菲菲，牟希，徐兴然，郭思瑶，付彬，龙艳玲，杨真，王帆，张书虹</w:t>
            </w:r>
          </w:p>
        </w:tc>
      </w:tr>
    </w:tbl>
    <w:p/>
    <w:p/>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Bold">
    <w:altName w:val="Segoe Print"/>
    <w:panose1 w:val="00000000000000000000"/>
    <w:charset w:val="00"/>
    <w:family w:val="auto"/>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40001" w:csb1="00000000"/>
  </w:font>
  <w:font w:name="F5">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2A259D"/>
    <w:rsid w:val="00426DAC"/>
    <w:rsid w:val="004E070F"/>
    <w:rsid w:val="005348DB"/>
    <w:rsid w:val="00A16049"/>
    <w:rsid w:val="00C162D2"/>
    <w:rsid w:val="00E12736"/>
    <w:rsid w:val="00EC7324"/>
    <w:rsid w:val="00F66412"/>
    <w:rsid w:val="0E4177ED"/>
    <w:rsid w:val="107E1073"/>
    <w:rsid w:val="1F0D1B99"/>
    <w:rsid w:val="2C430FDC"/>
    <w:rsid w:val="40AF212E"/>
    <w:rsid w:val="4558177E"/>
    <w:rsid w:val="4B8360EB"/>
    <w:rsid w:val="5EAF12D8"/>
    <w:rsid w:val="66D6770D"/>
    <w:rsid w:val="70152F41"/>
    <w:rsid w:val="79EA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customStyle="1" w:styleId="8">
    <w:name w:val="页眉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352</Words>
  <Characters>2009</Characters>
  <Lines>16</Lines>
  <Paragraphs>4</Paragraphs>
  <TotalTime>11</TotalTime>
  <ScaleCrop>false</ScaleCrop>
  <LinksUpToDate>false</LinksUpToDate>
  <CharactersWithSpaces>2357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2020-07-06T03:52:00Z</dcterms:created>
  <dc:creator>张莲</dc:creator>
  <cp:lastModifiedBy>SPRING</cp:lastModifiedBy>
  <dcterms:modified xsi:type="dcterms:W3CDTF">2021-09-08T03:16:25Z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