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59D" w:rsidRPr="00CE59DA" w:rsidRDefault="002A259D" w:rsidP="002A259D">
      <w:pPr>
        <w:spacing w:afterLines="50" w:after="156" w:line="400" w:lineRule="exact"/>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一、成果基本信息</w:t>
      </w:r>
    </w:p>
    <w:tbl>
      <w:tblPr>
        <w:tblStyle w:val="a5"/>
        <w:tblW w:w="5103" w:type="pct"/>
        <w:jc w:val="center"/>
        <w:tblLook w:val="04A0" w:firstRow="1" w:lastRow="0" w:firstColumn="1" w:lastColumn="0" w:noHBand="0" w:noVBand="1"/>
      </w:tblPr>
      <w:tblGrid>
        <w:gridCol w:w="630"/>
        <w:gridCol w:w="1421"/>
        <w:gridCol w:w="1843"/>
        <w:gridCol w:w="2409"/>
        <w:gridCol w:w="849"/>
        <w:gridCol w:w="1133"/>
        <w:gridCol w:w="1192"/>
      </w:tblGrid>
      <w:tr w:rsidR="002A259D" w:rsidRPr="00CE59DA" w:rsidTr="004845CD">
        <w:trPr>
          <w:jc w:val="center"/>
        </w:trPr>
        <w:tc>
          <w:tcPr>
            <w:tcW w:w="332"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cs="Times New Roman" w:hint="eastAsia"/>
                <w:b/>
                <w:sz w:val="28"/>
                <w:szCs w:val="28"/>
              </w:rPr>
              <w:t>序号</w:t>
            </w:r>
          </w:p>
        </w:tc>
        <w:tc>
          <w:tcPr>
            <w:tcW w:w="749"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成果名称</w:t>
            </w:r>
          </w:p>
        </w:tc>
        <w:tc>
          <w:tcPr>
            <w:tcW w:w="972"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主要完成人</w:t>
            </w:r>
          </w:p>
        </w:tc>
        <w:tc>
          <w:tcPr>
            <w:tcW w:w="1271"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主要完成单位</w:t>
            </w:r>
          </w:p>
        </w:tc>
        <w:tc>
          <w:tcPr>
            <w:tcW w:w="448"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cs="Times New Roman" w:hint="eastAsia"/>
                <w:b/>
                <w:sz w:val="28"/>
                <w:szCs w:val="28"/>
              </w:rPr>
              <w:t>奖种</w:t>
            </w:r>
          </w:p>
        </w:tc>
        <w:tc>
          <w:tcPr>
            <w:tcW w:w="598" w:type="pct"/>
            <w:vAlign w:val="center"/>
          </w:tcPr>
          <w:p w:rsidR="002A259D" w:rsidRPr="00CE59DA" w:rsidRDefault="002A259D" w:rsidP="004845CD">
            <w:pPr>
              <w:spacing w:line="300" w:lineRule="exact"/>
              <w:jc w:val="center"/>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提名者</w:t>
            </w:r>
          </w:p>
        </w:tc>
        <w:tc>
          <w:tcPr>
            <w:tcW w:w="629"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hint="eastAsia"/>
                <w:b/>
                <w:color w:val="000000"/>
                <w:sz w:val="28"/>
                <w:szCs w:val="28"/>
                <w:shd w:val="clear" w:color="auto" w:fill="FFFFFF"/>
              </w:rPr>
              <w:t>拟申报等级</w:t>
            </w:r>
          </w:p>
        </w:tc>
      </w:tr>
      <w:tr w:rsidR="002A259D" w:rsidRPr="00CE59DA" w:rsidTr="004F39CA">
        <w:trPr>
          <w:trHeight w:val="1368"/>
          <w:jc w:val="center"/>
        </w:trPr>
        <w:tc>
          <w:tcPr>
            <w:tcW w:w="332" w:type="pct"/>
            <w:vAlign w:val="center"/>
          </w:tcPr>
          <w:p w:rsidR="002A259D" w:rsidRPr="00CE59DA" w:rsidRDefault="002A259D" w:rsidP="004845CD">
            <w:pPr>
              <w:spacing w:line="300" w:lineRule="exact"/>
              <w:rPr>
                <w:rFonts w:ascii="Times New Roman" w:eastAsia="方正仿宋_GBK" w:hAnsi="Times New Roman" w:cs="Times New Roman"/>
                <w:sz w:val="28"/>
                <w:szCs w:val="28"/>
              </w:rPr>
            </w:pPr>
            <w:r w:rsidRPr="00CE59DA">
              <w:rPr>
                <w:rFonts w:ascii="Times New Roman" w:eastAsia="方正仿宋_GBK" w:hAnsi="Times New Roman" w:cs="Tahoma"/>
                <w:color w:val="000000"/>
                <w:sz w:val="28"/>
                <w:szCs w:val="28"/>
                <w:shd w:val="clear" w:color="auto" w:fill="FFFFFF"/>
              </w:rPr>
              <w:t>1</w:t>
            </w:r>
          </w:p>
        </w:tc>
        <w:tc>
          <w:tcPr>
            <w:tcW w:w="749" w:type="pct"/>
            <w:vAlign w:val="center"/>
          </w:tcPr>
          <w:p w:rsidR="002A259D" w:rsidRPr="00CE59DA" w:rsidRDefault="008B32FC" w:rsidP="004845CD">
            <w:pPr>
              <w:spacing w:line="300" w:lineRule="exact"/>
              <w:rPr>
                <w:rFonts w:ascii="Times New Roman" w:eastAsia="方正仿宋_GBK" w:hAnsi="Times New Roman" w:cs="Times New Roman"/>
                <w:sz w:val="28"/>
                <w:szCs w:val="28"/>
              </w:rPr>
            </w:pPr>
            <w:r w:rsidRPr="008B32FC">
              <w:rPr>
                <w:rFonts w:ascii="Times New Roman" w:eastAsia="方正仿宋_GBK" w:hAnsi="Times New Roman" w:cs="Times New Roman" w:hint="eastAsia"/>
                <w:sz w:val="28"/>
                <w:szCs w:val="28"/>
              </w:rPr>
              <w:t>长江流域禁捕执法技术支撑体系构建及应用</w:t>
            </w:r>
          </w:p>
        </w:tc>
        <w:tc>
          <w:tcPr>
            <w:tcW w:w="972" w:type="pct"/>
            <w:vAlign w:val="center"/>
          </w:tcPr>
          <w:p w:rsidR="002A259D" w:rsidRPr="00CE59DA" w:rsidRDefault="00510202" w:rsidP="004845CD">
            <w:pPr>
              <w:spacing w:line="300" w:lineRule="exact"/>
              <w:rPr>
                <w:rFonts w:ascii="Times New Roman" w:eastAsia="方正仿宋_GBK" w:hAnsi="Times New Roman" w:cs="Times New Roman"/>
                <w:sz w:val="28"/>
                <w:szCs w:val="28"/>
              </w:rPr>
            </w:pPr>
            <w:r w:rsidRPr="00510202">
              <w:rPr>
                <w:rFonts w:ascii="Times New Roman" w:eastAsia="方正仿宋_GBK" w:hAnsi="Times New Roman" w:cs="Times New Roman" w:hint="eastAsia"/>
                <w:sz w:val="28"/>
                <w:szCs w:val="28"/>
              </w:rPr>
              <w:t>姚维志、王中伟、李昀、赵翎、苏胜齐、魏耀东、吕红健、付梅、杨卉萍、余小波、吴正理、景左、熊波、张传祥、何文平</w:t>
            </w:r>
            <w:bookmarkStart w:id="0" w:name="_GoBack"/>
            <w:bookmarkEnd w:id="0"/>
          </w:p>
        </w:tc>
        <w:tc>
          <w:tcPr>
            <w:tcW w:w="1271" w:type="pct"/>
            <w:vAlign w:val="center"/>
          </w:tcPr>
          <w:p w:rsidR="002A259D" w:rsidRPr="00CE59DA" w:rsidRDefault="008B32FC" w:rsidP="004845CD">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西南大学</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重庆市高级人民法院</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重庆市农业综合行政执法总队</w:t>
            </w:r>
          </w:p>
        </w:tc>
        <w:tc>
          <w:tcPr>
            <w:tcW w:w="448" w:type="pct"/>
            <w:vAlign w:val="center"/>
          </w:tcPr>
          <w:p w:rsidR="002A259D" w:rsidRPr="00CE59DA" w:rsidRDefault="002A259D" w:rsidP="004845CD">
            <w:pPr>
              <w:spacing w:line="300" w:lineRule="exact"/>
              <w:rPr>
                <w:rFonts w:ascii="Times New Roman" w:eastAsia="方正仿宋_GBK" w:hAnsi="Times New Roman" w:cs="Times New Roman"/>
                <w:sz w:val="28"/>
                <w:szCs w:val="28"/>
              </w:rPr>
            </w:pPr>
            <w:r w:rsidRPr="00CE59DA">
              <w:rPr>
                <w:rFonts w:ascii="Times New Roman" w:eastAsia="方正仿宋_GBK" w:hAnsi="宋体" w:hint="eastAsia"/>
                <w:color w:val="000000"/>
                <w:sz w:val="28"/>
                <w:szCs w:val="28"/>
                <w:shd w:val="clear" w:color="auto" w:fill="FFFFFF"/>
              </w:rPr>
              <w:t>科技进步奖</w:t>
            </w:r>
          </w:p>
        </w:tc>
        <w:tc>
          <w:tcPr>
            <w:tcW w:w="598" w:type="pct"/>
            <w:vAlign w:val="center"/>
          </w:tcPr>
          <w:p w:rsidR="002A259D" w:rsidRPr="00CE59DA" w:rsidRDefault="002A259D" w:rsidP="004845CD">
            <w:pPr>
              <w:spacing w:line="300" w:lineRule="exact"/>
              <w:rPr>
                <w:rFonts w:ascii="Times New Roman" w:eastAsia="方正仿宋_GBK" w:hAnsi="Times New Roman"/>
                <w:color w:val="000000"/>
                <w:sz w:val="28"/>
                <w:szCs w:val="28"/>
                <w:shd w:val="clear" w:color="auto" w:fill="FFFFFF"/>
              </w:rPr>
            </w:pPr>
            <w:r>
              <w:rPr>
                <w:rFonts w:ascii="Times New Roman" w:eastAsia="方正仿宋_GBK" w:hAnsi="宋体" w:hint="eastAsia"/>
                <w:color w:val="000000"/>
                <w:sz w:val="28"/>
                <w:szCs w:val="28"/>
                <w:shd w:val="clear" w:color="auto" w:fill="FFFFFF"/>
              </w:rPr>
              <w:t>重庆市教育委员会</w:t>
            </w:r>
          </w:p>
        </w:tc>
        <w:tc>
          <w:tcPr>
            <w:tcW w:w="629" w:type="pct"/>
            <w:vAlign w:val="center"/>
          </w:tcPr>
          <w:p w:rsidR="002A259D" w:rsidRPr="00CE59DA" w:rsidRDefault="008B32FC" w:rsidP="004845CD">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一等奖</w:t>
            </w:r>
          </w:p>
        </w:tc>
      </w:tr>
    </w:tbl>
    <w:p w:rsidR="002A259D" w:rsidRPr="00CE59DA" w:rsidRDefault="002A259D" w:rsidP="002A259D">
      <w:pPr>
        <w:widowControl/>
        <w:jc w:val="left"/>
        <w:rPr>
          <w:rFonts w:ascii="Times New Roman" w:eastAsia="方正仿宋_GBK" w:hAnsi="Times New Roman"/>
          <w:sz w:val="24"/>
          <w:szCs w:val="32"/>
        </w:rPr>
      </w:pPr>
    </w:p>
    <w:p w:rsidR="002A259D" w:rsidRDefault="002A259D" w:rsidP="004F39CA">
      <w:pPr>
        <w:spacing w:afterLines="50" w:after="156" w:line="400" w:lineRule="exact"/>
        <w:rPr>
          <w:rFonts w:ascii="Times New Roman" w:eastAsia="方正仿宋_GBK" w:hAnsi="宋体"/>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二、项目简介</w:t>
      </w:r>
    </w:p>
    <w:p w:rsidR="008B32FC" w:rsidRPr="008B32FC" w:rsidRDefault="008B32FC" w:rsidP="008B32FC">
      <w:pPr>
        <w:spacing w:afterLines="50" w:after="156" w:line="400" w:lineRule="exact"/>
        <w:rPr>
          <w:rFonts w:ascii="Times New Roman" w:eastAsia="方正仿宋_GBK" w:hAnsi="Times New Roman"/>
          <w:sz w:val="24"/>
          <w:szCs w:val="32"/>
        </w:rPr>
      </w:pPr>
      <w:r w:rsidRPr="008B32FC">
        <w:rPr>
          <w:rFonts w:ascii="Times New Roman" w:eastAsia="方正仿宋_GBK" w:hAnsi="Times New Roman" w:hint="eastAsia"/>
          <w:sz w:val="24"/>
          <w:szCs w:val="32"/>
        </w:rPr>
        <w:t>（一）主要技术内容</w:t>
      </w:r>
    </w:p>
    <w:p w:rsidR="008B32FC" w:rsidRPr="008B32FC" w:rsidRDefault="008B32FC" w:rsidP="008B32FC">
      <w:pPr>
        <w:spacing w:afterLines="50" w:after="156" w:line="400" w:lineRule="exact"/>
        <w:rPr>
          <w:rFonts w:ascii="Times New Roman" w:eastAsia="方正仿宋_GBK" w:hAnsi="Times New Roman"/>
          <w:sz w:val="24"/>
          <w:szCs w:val="32"/>
        </w:rPr>
      </w:pPr>
      <w:r w:rsidRPr="008B32FC">
        <w:rPr>
          <w:rFonts w:ascii="Times New Roman" w:eastAsia="方正仿宋_GBK" w:hAnsi="Times New Roman" w:hint="eastAsia"/>
          <w:sz w:val="24"/>
          <w:szCs w:val="32"/>
        </w:rPr>
        <w:t>1</w:t>
      </w:r>
      <w:r w:rsidRPr="008B32FC">
        <w:rPr>
          <w:rFonts w:ascii="Times New Roman" w:eastAsia="方正仿宋_GBK" w:hAnsi="Times New Roman" w:hint="eastAsia"/>
          <w:sz w:val="24"/>
          <w:szCs w:val="32"/>
        </w:rPr>
        <w:t>、课题组经深入研究，在技术上建立了非法捕捞案件涉案物品认（鉴）定和水生生物资源损害评估的相关方法和流程，经过在重庆市的试验性应用，获得农业农村部的采纳。</w:t>
      </w:r>
    </w:p>
    <w:p w:rsidR="008B32FC" w:rsidRPr="008B32FC" w:rsidRDefault="008B32FC" w:rsidP="008B32FC">
      <w:pPr>
        <w:spacing w:afterLines="50" w:after="156" w:line="400" w:lineRule="exact"/>
        <w:rPr>
          <w:rFonts w:ascii="Times New Roman" w:eastAsia="方正仿宋_GBK" w:hAnsi="Times New Roman"/>
          <w:sz w:val="24"/>
          <w:szCs w:val="32"/>
        </w:rPr>
      </w:pPr>
      <w:r w:rsidRPr="008B32FC">
        <w:rPr>
          <w:rFonts w:ascii="Times New Roman" w:eastAsia="方正仿宋_GBK" w:hAnsi="Times New Roman" w:hint="eastAsia"/>
          <w:sz w:val="24"/>
          <w:szCs w:val="32"/>
        </w:rPr>
        <w:t>2</w:t>
      </w:r>
      <w:r w:rsidRPr="008B32FC">
        <w:rPr>
          <w:rFonts w:ascii="Times New Roman" w:eastAsia="方正仿宋_GBK" w:hAnsi="Times New Roman" w:hint="eastAsia"/>
          <w:sz w:val="24"/>
          <w:szCs w:val="32"/>
        </w:rPr>
        <w:t>、课题组在国内率先开展非法捕捞损害程度评估研究，在此基础上提出了量刑标准。</w:t>
      </w:r>
    </w:p>
    <w:p w:rsidR="008B32FC" w:rsidRPr="008B32FC" w:rsidRDefault="008B32FC" w:rsidP="008B32FC">
      <w:pPr>
        <w:spacing w:afterLines="50" w:after="156" w:line="400" w:lineRule="exact"/>
        <w:rPr>
          <w:rFonts w:ascii="Times New Roman" w:eastAsia="方正仿宋_GBK" w:hAnsi="Times New Roman"/>
          <w:sz w:val="24"/>
          <w:szCs w:val="32"/>
        </w:rPr>
      </w:pPr>
      <w:r w:rsidRPr="008B32FC">
        <w:rPr>
          <w:rFonts w:ascii="Times New Roman" w:eastAsia="方正仿宋_GBK" w:hAnsi="Times New Roman" w:hint="eastAsia"/>
          <w:sz w:val="24"/>
          <w:szCs w:val="32"/>
        </w:rPr>
        <w:t>3</w:t>
      </w:r>
      <w:r w:rsidRPr="008B32FC">
        <w:rPr>
          <w:rFonts w:ascii="Times New Roman" w:eastAsia="方正仿宋_GBK" w:hAnsi="Times New Roman" w:hint="eastAsia"/>
          <w:sz w:val="24"/>
          <w:szCs w:val="32"/>
        </w:rPr>
        <w:t>、课题组全面收集了重庆市</w:t>
      </w:r>
      <w:r w:rsidRPr="008B32FC">
        <w:rPr>
          <w:rFonts w:ascii="Times New Roman" w:eastAsia="方正仿宋_GBK" w:hAnsi="Times New Roman" w:hint="eastAsia"/>
          <w:sz w:val="24"/>
          <w:szCs w:val="32"/>
        </w:rPr>
        <w:t>756</w:t>
      </w:r>
      <w:r w:rsidRPr="008B32FC">
        <w:rPr>
          <w:rFonts w:ascii="Times New Roman" w:eastAsia="方正仿宋_GBK" w:hAnsi="Times New Roman" w:hint="eastAsia"/>
          <w:sz w:val="24"/>
          <w:szCs w:val="32"/>
        </w:rPr>
        <w:t>条河流的基本情况，确定了每一条河流在我市境内的起止点和地理坐标，创造性的提出了两岸以水陆交界处为界的标准，划定了重庆市长江流域重点水域禁捕范围。</w:t>
      </w:r>
    </w:p>
    <w:p w:rsidR="008B32FC" w:rsidRPr="008B32FC" w:rsidRDefault="008B32FC" w:rsidP="008B32FC">
      <w:pPr>
        <w:spacing w:afterLines="50" w:after="156" w:line="400" w:lineRule="exact"/>
        <w:rPr>
          <w:rFonts w:ascii="Times New Roman" w:eastAsia="方正仿宋_GBK" w:hAnsi="Times New Roman"/>
          <w:sz w:val="24"/>
          <w:szCs w:val="32"/>
        </w:rPr>
      </w:pPr>
      <w:r w:rsidRPr="008B32FC">
        <w:rPr>
          <w:rFonts w:ascii="Times New Roman" w:eastAsia="方正仿宋_GBK" w:hAnsi="Times New Roman" w:hint="eastAsia"/>
          <w:sz w:val="24"/>
          <w:szCs w:val="32"/>
        </w:rPr>
        <w:t>4</w:t>
      </w:r>
      <w:r w:rsidRPr="008B32FC">
        <w:rPr>
          <w:rFonts w:ascii="Times New Roman" w:eastAsia="方正仿宋_GBK" w:hAnsi="Times New Roman" w:hint="eastAsia"/>
          <w:sz w:val="24"/>
          <w:szCs w:val="32"/>
        </w:rPr>
        <w:t>、课题组在国内率先开展了渔政执法取证技术规范制定工作。研究成果成为渔政部门执法取证的工具书，也被公安、检察等执法机构所认可，同时还被湖南省制定的相关文件引用。</w:t>
      </w:r>
    </w:p>
    <w:p w:rsidR="008B32FC" w:rsidRPr="008B32FC" w:rsidRDefault="008B32FC" w:rsidP="008B32FC">
      <w:pPr>
        <w:spacing w:afterLines="50" w:after="156" w:line="400" w:lineRule="exact"/>
        <w:rPr>
          <w:rFonts w:ascii="Times New Roman" w:eastAsia="方正仿宋_GBK" w:hAnsi="Times New Roman"/>
          <w:sz w:val="24"/>
          <w:szCs w:val="32"/>
        </w:rPr>
      </w:pPr>
      <w:r w:rsidRPr="008B32FC">
        <w:rPr>
          <w:rFonts w:ascii="Times New Roman" w:eastAsia="方正仿宋_GBK" w:hAnsi="Times New Roman" w:hint="eastAsia"/>
          <w:sz w:val="24"/>
          <w:szCs w:val="32"/>
        </w:rPr>
        <w:t>5</w:t>
      </w:r>
      <w:r w:rsidRPr="008B32FC">
        <w:rPr>
          <w:rFonts w:ascii="Times New Roman" w:eastAsia="方正仿宋_GBK" w:hAnsi="Times New Roman" w:hint="eastAsia"/>
          <w:sz w:val="24"/>
          <w:szCs w:val="32"/>
        </w:rPr>
        <w:t>、针对一些具体案件出现的难以定性的证据，课题组通过研究做出鉴定，为执法部门顺利办结案件提供了可靠的技术支撑。</w:t>
      </w:r>
    </w:p>
    <w:p w:rsidR="008B32FC" w:rsidRPr="008B32FC" w:rsidRDefault="008B32FC" w:rsidP="008B32FC">
      <w:pPr>
        <w:spacing w:afterLines="50" w:after="156" w:line="400" w:lineRule="exact"/>
        <w:rPr>
          <w:rFonts w:ascii="Times New Roman" w:eastAsia="方正仿宋_GBK" w:hAnsi="Times New Roman"/>
          <w:sz w:val="24"/>
          <w:szCs w:val="32"/>
        </w:rPr>
      </w:pPr>
      <w:r w:rsidRPr="008B32FC">
        <w:rPr>
          <w:rFonts w:ascii="Times New Roman" w:eastAsia="方正仿宋_GBK" w:hAnsi="Times New Roman" w:hint="eastAsia"/>
          <w:sz w:val="24"/>
          <w:szCs w:val="32"/>
        </w:rPr>
        <w:t>6</w:t>
      </w:r>
      <w:r w:rsidRPr="008B32FC">
        <w:rPr>
          <w:rFonts w:ascii="Times New Roman" w:eastAsia="方正仿宋_GBK" w:hAnsi="Times New Roman" w:hint="eastAsia"/>
          <w:sz w:val="24"/>
          <w:szCs w:val="32"/>
        </w:rPr>
        <w:t>、课题组通过对重庆市主要经济鱼类野生个体和养殖个体的大量观察和对比，总结了肉眼可辨别的识别特征，并编印了相应的执法手册，</w:t>
      </w:r>
      <w:proofErr w:type="gramStart"/>
      <w:r w:rsidRPr="008B32FC">
        <w:rPr>
          <w:rFonts w:ascii="Times New Roman" w:eastAsia="方正仿宋_GBK" w:hAnsi="Times New Roman" w:hint="eastAsia"/>
          <w:sz w:val="24"/>
          <w:szCs w:val="32"/>
        </w:rPr>
        <w:t>供执法</w:t>
      </w:r>
      <w:proofErr w:type="gramEnd"/>
      <w:r w:rsidRPr="008B32FC">
        <w:rPr>
          <w:rFonts w:ascii="Times New Roman" w:eastAsia="方正仿宋_GBK" w:hAnsi="Times New Roman" w:hint="eastAsia"/>
          <w:sz w:val="24"/>
          <w:szCs w:val="32"/>
        </w:rPr>
        <w:t>人员现场办案使用。</w:t>
      </w:r>
    </w:p>
    <w:p w:rsidR="008B32FC" w:rsidRPr="008B32FC" w:rsidRDefault="008B32FC" w:rsidP="008B32FC">
      <w:pPr>
        <w:spacing w:afterLines="50" w:after="156" w:line="400" w:lineRule="exact"/>
        <w:rPr>
          <w:rFonts w:ascii="Times New Roman" w:eastAsia="方正仿宋_GBK" w:hAnsi="Times New Roman"/>
          <w:sz w:val="24"/>
          <w:szCs w:val="32"/>
        </w:rPr>
      </w:pPr>
      <w:r w:rsidRPr="008B32FC">
        <w:rPr>
          <w:rFonts w:ascii="Times New Roman" w:eastAsia="方正仿宋_GBK" w:hAnsi="Times New Roman" w:hint="eastAsia"/>
          <w:sz w:val="24"/>
          <w:szCs w:val="32"/>
        </w:rPr>
        <w:t>（二）技术创新点</w:t>
      </w:r>
    </w:p>
    <w:p w:rsidR="008B32FC" w:rsidRPr="008B32FC" w:rsidRDefault="008B32FC" w:rsidP="008B32FC">
      <w:pPr>
        <w:spacing w:afterLines="50" w:after="156" w:line="400" w:lineRule="exact"/>
        <w:rPr>
          <w:rFonts w:ascii="Times New Roman" w:eastAsia="方正仿宋_GBK" w:hAnsi="Times New Roman"/>
          <w:sz w:val="24"/>
          <w:szCs w:val="32"/>
        </w:rPr>
      </w:pPr>
      <w:r w:rsidRPr="008B32FC">
        <w:rPr>
          <w:rFonts w:ascii="Times New Roman" w:eastAsia="方正仿宋_GBK" w:hAnsi="Times New Roman" w:hint="eastAsia"/>
          <w:sz w:val="24"/>
          <w:szCs w:val="32"/>
        </w:rPr>
        <w:t>1</w:t>
      </w:r>
      <w:r w:rsidRPr="008B32FC">
        <w:rPr>
          <w:rFonts w:ascii="Times New Roman" w:eastAsia="方正仿宋_GBK" w:hAnsi="Times New Roman" w:hint="eastAsia"/>
          <w:sz w:val="24"/>
          <w:szCs w:val="32"/>
        </w:rPr>
        <w:t>、从执法管理的实际需求出发，以外部形态特征作为判断非法捕捞涉案鱼类相关属性的主要依据，并在科学层面为这些外部特征提供支撑。</w:t>
      </w:r>
    </w:p>
    <w:p w:rsidR="008B32FC" w:rsidRPr="008B32FC" w:rsidRDefault="008B32FC" w:rsidP="008B32FC">
      <w:pPr>
        <w:spacing w:afterLines="50" w:after="156" w:line="400" w:lineRule="exact"/>
        <w:rPr>
          <w:rFonts w:ascii="Times New Roman" w:eastAsia="方正仿宋_GBK" w:hAnsi="Times New Roman"/>
          <w:sz w:val="24"/>
          <w:szCs w:val="32"/>
        </w:rPr>
      </w:pPr>
      <w:r w:rsidRPr="008B32FC">
        <w:rPr>
          <w:rFonts w:ascii="Times New Roman" w:eastAsia="方正仿宋_GBK" w:hAnsi="Times New Roman" w:hint="eastAsia"/>
          <w:sz w:val="24"/>
          <w:szCs w:val="32"/>
        </w:rPr>
        <w:t>2</w:t>
      </w:r>
      <w:r w:rsidRPr="008B32FC">
        <w:rPr>
          <w:rFonts w:ascii="Times New Roman" w:eastAsia="方正仿宋_GBK" w:hAnsi="Times New Roman" w:hint="eastAsia"/>
          <w:sz w:val="24"/>
          <w:szCs w:val="32"/>
        </w:rPr>
        <w:t>、将科学技术与法律密切结合，使相关部门制定的相关制度既具有充分的科学依据，</w:t>
      </w:r>
      <w:r w:rsidRPr="008B32FC">
        <w:rPr>
          <w:rFonts w:ascii="Times New Roman" w:eastAsia="方正仿宋_GBK" w:hAnsi="Times New Roman" w:hint="eastAsia"/>
          <w:sz w:val="24"/>
          <w:szCs w:val="32"/>
        </w:rPr>
        <w:lastRenderedPageBreak/>
        <w:t>也具有法律的严谨性。</w:t>
      </w:r>
    </w:p>
    <w:p w:rsidR="008B32FC" w:rsidRPr="008B32FC" w:rsidRDefault="008B32FC" w:rsidP="008B32FC">
      <w:pPr>
        <w:spacing w:afterLines="50" w:after="156" w:line="400" w:lineRule="exact"/>
        <w:rPr>
          <w:rFonts w:ascii="Times New Roman" w:eastAsia="方正仿宋_GBK" w:hAnsi="Times New Roman"/>
          <w:sz w:val="24"/>
          <w:szCs w:val="32"/>
        </w:rPr>
      </w:pPr>
      <w:r w:rsidRPr="008B32FC">
        <w:rPr>
          <w:rFonts w:ascii="Times New Roman" w:eastAsia="方正仿宋_GBK" w:hAnsi="Times New Roman" w:hint="eastAsia"/>
          <w:sz w:val="24"/>
          <w:szCs w:val="32"/>
        </w:rPr>
        <w:t>（三）知识产权、应用推广及效益</w:t>
      </w:r>
    </w:p>
    <w:p w:rsidR="008B32FC" w:rsidRPr="008B32FC" w:rsidRDefault="008B32FC" w:rsidP="008B32FC">
      <w:pPr>
        <w:spacing w:afterLines="50" w:after="156" w:line="400" w:lineRule="exact"/>
        <w:rPr>
          <w:rFonts w:ascii="Times New Roman" w:eastAsia="方正仿宋_GBK" w:hAnsi="Times New Roman"/>
          <w:sz w:val="24"/>
          <w:szCs w:val="32"/>
        </w:rPr>
      </w:pPr>
      <w:r w:rsidRPr="008B32FC">
        <w:rPr>
          <w:rFonts w:ascii="Times New Roman" w:eastAsia="方正仿宋_GBK" w:hAnsi="Times New Roman" w:hint="eastAsia"/>
          <w:sz w:val="24"/>
          <w:szCs w:val="32"/>
        </w:rPr>
        <w:t>1</w:t>
      </w:r>
      <w:r w:rsidRPr="008B32FC">
        <w:rPr>
          <w:rFonts w:ascii="Times New Roman" w:eastAsia="方正仿宋_GBK" w:hAnsi="Times New Roman" w:hint="eastAsia"/>
          <w:sz w:val="24"/>
          <w:szCs w:val="32"/>
        </w:rPr>
        <w:t>、课题组起草的《非法捕捞案件涉案物品认（鉴）定和水生生物资源损害评估及修复办法（试行）》（农办渔﹝</w:t>
      </w:r>
      <w:r w:rsidRPr="008B32FC">
        <w:rPr>
          <w:rFonts w:ascii="Times New Roman" w:eastAsia="方正仿宋_GBK" w:hAnsi="Times New Roman" w:hint="eastAsia"/>
          <w:sz w:val="24"/>
          <w:szCs w:val="32"/>
        </w:rPr>
        <w:t>2020</w:t>
      </w:r>
      <w:r w:rsidRPr="008B32FC">
        <w:rPr>
          <w:rFonts w:ascii="Times New Roman" w:eastAsia="方正仿宋_GBK" w:hAnsi="Times New Roman" w:hint="eastAsia"/>
          <w:sz w:val="24"/>
          <w:szCs w:val="32"/>
        </w:rPr>
        <w:t>﹞</w:t>
      </w:r>
      <w:r w:rsidRPr="008B32FC">
        <w:rPr>
          <w:rFonts w:ascii="Times New Roman" w:eastAsia="方正仿宋_GBK" w:hAnsi="Times New Roman" w:hint="eastAsia"/>
          <w:sz w:val="24"/>
          <w:szCs w:val="32"/>
        </w:rPr>
        <w:t>24</w:t>
      </w:r>
      <w:r w:rsidRPr="008B32FC">
        <w:rPr>
          <w:rFonts w:ascii="Times New Roman" w:eastAsia="方正仿宋_GBK" w:hAnsi="Times New Roman" w:hint="eastAsia"/>
          <w:sz w:val="24"/>
          <w:szCs w:val="32"/>
        </w:rPr>
        <w:t>号）作为规范性文件发布，成为全国范围内办理相关案件的法律依据。</w:t>
      </w:r>
    </w:p>
    <w:p w:rsidR="008B32FC" w:rsidRPr="008B32FC" w:rsidRDefault="008B32FC" w:rsidP="008B32FC">
      <w:pPr>
        <w:spacing w:afterLines="50" w:after="156" w:line="400" w:lineRule="exact"/>
        <w:rPr>
          <w:rFonts w:ascii="Times New Roman" w:eastAsia="方正仿宋_GBK" w:hAnsi="Times New Roman"/>
          <w:sz w:val="24"/>
          <w:szCs w:val="32"/>
        </w:rPr>
      </w:pPr>
      <w:r w:rsidRPr="008B32FC">
        <w:rPr>
          <w:rFonts w:ascii="Times New Roman" w:eastAsia="方正仿宋_GBK" w:hAnsi="Times New Roman" w:hint="eastAsia"/>
          <w:sz w:val="24"/>
          <w:szCs w:val="32"/>
        </w:rPr>
        <w:t>2</w:t>
      </w:r>
      <w:r w:rsidRPr="008B32FC">
        <w:rPr>
          <w:rFonts w:ascii="Times New Roman" w:eastAsia="方正仿宋_GBK" w:hAnsi="Times New Roman" w:hint="eastAsia"/>
          <w:sz w:val="24"/>
          <w:szCs w:val="32"/>
        </w:rPr>
        <w:t>、经最高人民法院和重庆市人大常委会备案，课题组制定的全国第一个《关于非法捕捞犯罪量刑指引》（渝高法</w:t>
      </w:r>
      <w:r w:rsidRPr="008B32FC">
        <w:rPr>
          <w:rFonts w:ascii="Times New Roman" w:eastAsia="方正仿宋_GBK" w:hAnsi="Times New Roman" w:hint="eastAsia"/>
          <w:sz w:val="24"/>
          <w:szCs w:val="32"/>
        </w:rPr>
        <w:t>[2021]97</w:t>
      </w:r>
      <w:r w:rsidRPr="008B32FC">
        <w:rPr>
          <w:rFonts w:ascii="Times New Roman" w:eastAsia="方正仿宋_GBK" w:hAnsi="Times New Roman" w:hint="eastAsia"/>
          <w:sz w:val="24"/>
          <w:szCs w:val="32"/>
        </w:rPr>
        <w:t>号）已发布实施。</w:t>
      </w:r>
    </w:p>
    <w:p w:rsidR="008B32FC" w:rsidRPr="008B32FC" w:rsidRDefault="008B32FC" w:rsidP="008B32FC">
      <w:pPr>
        <w:spacing w:afterLines="50" w:after="156" w:line="400" w:lineRule="exact"/>
        <w:rPr>
          <w:rFonts w:ascii="Times New Roman" w:eastAsia="方正仿宋_GBK" w:hAnsi="Times New Roman"/>
          <w:sz w:val="24"/>
          <w:szCs w:val="32"/>
        </w:rPr>
      </w:pPr>
      <w:r w:rsidRPr="008B32FC">
        <w:rPr>
          <w:rFonts w:ascii="Times New Roman" w:eastAsia="方正仿宋_GBK" w:hAnsi="Times New Roman" w:hint="eastAsia"/>
          <w:sz w:val="24"/>
          <w:szCs w:val="32"/>
        </w:rPr>
        <w:t>3</w:t>
      </w:r>
      <w:r w:rsidRPr="008B32FC">
        <w:rPr>
          <w:rFonts w:ascii="Times New Roman" w:eastAsia="方正仿宋_GBK" w:hAnsi="Times New Roman" w:hint="eastAsia"/>
          <w:sz w:val="24"/>
          <w:szCs w:val="32"/>
        </w:rPr>
        <w:t>、课题组起草的《重庆市农业农村委员会等</w:t>
      </w:r>
      <w:r w:rsidRPr="008B32FC">
        <w:rPr>
          <w:rFonts w:ascii="Times New Roman" w:eastAsia="方正仿宋_GBK" w:hAnsi="Times New Roman" w:hint="eastAsia"/>
          <w:sz w:val="24"/>
          <w:szCs w:val="32"/>
        </w:rPr>
        <w:t>8</w:t>
      </w:r>
      <w:r w:rsidRPr="008B32FC">
        <w:rPr>
          <w:rFonts w:ascii="Times New Roman" w:eastAsia="方正仿宋_GBK" w:hAnsi="Times New Roman" w:hint="eastAsia"/>
          <w:sz w:val="24"/>
          <w:szCs w:val="32"/>
        </w:rPr>
        <w:t>部门关于重庆市长江流域重点水域全面禁捕的通告》（渝农发</w:t>
      </w:r>
      <w:r w:rsidRPr="008B32FC">
        <w:rPr>
          <w:rFonts w:ascii="Times New Roman" w:eastAsia="方正仿宋_GBK" w:hAnsi="Times New Roman" w:hint="eastAsia"/>
          <w:sz w:val="24"/>
          <w:szCs w:val="32"/>
        </w:rPr>
        <w:t>[2020]148</w:t>
      </w:r>
      <w:r w:rsidRPr="008B32FC">
        <w:rPr>
          <w:rFonts w:ascii="Times New Roman" w:eastAsia="方正仿宋_GBK" w:hAnsi="Times New Roman" w:hint="eastAsia"/>
          <w:sz w:val="24"/>
          <w:szCs w:val="32"/>
        </w:rPr>
        <w:t>号）已经作为规范性文件发布实施。</w:t>
      </w:r>
    </w:p>
    <w:p w:rsidR="008B32FC" w:rsidRPr="008B32FC" w:rsidRDefault="008B32FC" w:rsidP="008B32FC">
      <w:pPr>
        <w:spacing w:afterLines="50" w:after="156" w:line="400" w:lineRule="exact"/>
        <w:rPr>
          <w:rFonts w:ascii="Times New Roman" w:eastAsia="方正仿宋_GBK" w:hAnsi="Times New Roman"/>
          <w:sz w:val="24"/>
          <w:szCs w:val="32"/>
        </w:rPr>
      </w:pPr>
      <w:r w:rsidRPr="008B32FC">
        <w:rPr>
          <w:rFonts w:ascii="Times New Roman" w:eastAsia="方正仿宋_GBK" w:hAnsi="Times New Roman" w:hint="eastAsia"/>
          <w:sz w:val="24"/>
          <w:szCs w:val="32"/>
        </w:rPr>
        <w:t>4</w:t>
      </w:r>
      <w:r w:rsidRPr="008B32FC">
        <w:rPr>
          <w:rFonts w:ascii="Times New Roman" w:eastAsia="方正仿宋_GBK" w:hAnsi="Times New Roman" w:hint="eastAsia"/>
          <w:sz w:val="24"/>
          <w:szCs w:val="32"/>
        </w:rPr>
        <w:t>、课题组编制的《重庆市渔政执法取证技术规范》由原重庆市渔政渔港监督管理处发布实施。</w:t>
      </w:r>
    </w:p>
    <w:p w:rsidR="008B32FC" w:rsidRPr="00CE59DA" w:rsidRDefault="008B32FC" w:rsidP="008B32FC">
      <w:pPr>
        <w:spacing w:afterLines="50" w:after="156" w:line="400" w:lineRule="exact"/>
        <w:rPr>
          <w:rFonts w:ascii="Times New Roman" w:eastAsia="方正仿宋_GBK" w:hAnsi="Times New Roman"/>
          <w:sz w:val="24"/>
          <w:szCs w:val="32"/>
        </w:rPr>
      </w:pPr>
      <w:r w:rsidRPr="008B32FC">
        <w:rPr>
          <w:rFonts w:ascii="Times New Roman" w:eastAsia="方正仿宋_GBK" w:hAnsi="Times New Roman" w:hint="eastAsia"/>
          <w:sz w:val="24"/>
          <w:szCs w:val="32"/>
        </w:rPr>
        <w:t>5</w:t>
      </w:r>
      <w:r w:rsidRPr="008B32FC">
        <w:rPr>
          <w:rFonts w:ascii="Times New Roman" w:eastAsia="方正仿宋_GBK" w:hAnsi="Times New Roman" w:hint="eastAsia"/>
          <w:sz w:val="24"/>
          <w:szCs w:val="32"/>
        </w:rPr>
        <w:t>、课题组的完成的西大司鉴〔</w:t>
      </w:r>
      <w:r w:rsidRPr="008B32FC">
        <w:rPr>
          <w:rFonts w:ascii="Times New Roman" w:eastAsia="方正仿宋_GBK" w:hAnsi="Times New Roman" w:hint="eastAsia"/>
          <w:sz w:val="24"/>
          <w:szCs w:val="32"/>
        </w:rPr>
        <w:t>2020</w:t>
      </w:r>
      <w:r w:rsidRPr="008B32FC">
        <w:rPr>
          <w:rFonts w:ascii="Times New Roman" w:eastAsia="方正仿宋_GBK" w:hAnsi="Times New Roman" w:hint="eastAsia"/>
          <w:sz w:val="24"/>
          <w:szCs w:val="32"/>
        </w:rPr>
        <w:t>〕鉴字第</w:t>
      </w:r>
      <w:r w:rsidRPr="008B32FC">
        <w:rPr>
          <w:rFonts w:ascii="Times New Roman" w:eastAsia="方正仿宋_GBK" w:hAnsi="Times New Roman" w:hint="eastAsia"/>
          <w:sz w:val="24"/>
          <w:szCs w:val="32"/>
        </w:rPr>
        <w:t>007</w:t>
      </w:r>
      <w:r w:rsidRPr="008B32FC">
        <w:rPr>
          <w:rFonts w:ascii="Times New Roman" w:eastAsia="方正仿宋_GBK" w:hAnsi="Times New Roman" w:hint="eastAsia"/>
          <w:sz w:val="24"/>
          <w:szCs w:val="32"/>
        </w:rPr>
        <w:t>号司法鉴定意见书，被重庆市农业农村委员会</w:t>
      </w:r>
      <w:proofErr w:type="gramStart"/>
      <w:r w:rsidRPr="008B32FC">
        <w:rPr>
          <w:rFonts w:ascii="Times New Roman" w:eastAsia="方正仿宋_GBK" w:hAnsi="Times New Roman" w:hint="eastAsia"/>
          <w:sz w:val="24"/>
          <w:szCs w:val="32"/>
        </w:rPr>
        <w:t>以渝农〔</w:t>
      </w:r>
      <w:r w:rsidRPr="008B32FC">
        <w:rPr>
          <w:rFonts w:ascii="Times New Roman" w:eastAsia="方正仿宋_GBK" w:hAnsi="Times New Roman" w:hint="eastAsia"/>
          <w:sz w:val="24"/>
          <w:szCs w:val="32"/>
        </w:rPr>
        <w:t>2020</w:t>
      </w:r>
      <w:r w:rsidRPr="008B32FC">
        <w:rPr>
          <w:rFonts w:ascii="Times New Roman" w:eastAsia="方正仿宋_GBK" w:hAnsi="Times New Roman" w:hint="eastAsia"/>
          <w:sz w:val="24"/>
          <w:szCs w:val="32"/>
        </w:rPr>
        <w:t>〕</w:t>
      </w:r>
      <w:proofErr w:type="gramEnd"/>
      <w:r w:rsidRPr="008B32FC">
        <w:rPr>
          <w:rFonts w:ascii="Times New Roman" w:eastAsia="方正仿宋_GBK" w:hAnsi="Times New Roman" w:hint="eastAsia"/>
          <w:sz w:val="24"/>
          <w:szCs w:val="32"/>
        </w:rPr>
        <w:t>16</w:t>
      </w:r>
      <w:r w:rsidRPr="008B32FC">
        <w:rPr>
          <w:rFonts w:ascii="Times New Roman" w:eastAsia="方正仿宋_GBK" w:hAnsi="Times New Roman" w:hint="eastAsia"/>
          <w:sz w:val="24"/>
          <w:szCs w:val="32"/>
        </w:rPr>
        <w:t>号文批复认可。</w:t>
      </w:r>
    </w:p>
    <w:p w:rsidR="002A259D" w:rsidRPr="00CE59DA" w:rsidRDefault="002A259D" w:rsidP="002A259D">
      <w:pPr>
        <w:spacing w:afterLines="50" w:after="156" w:line="400" w:lineRule="exact"/>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三、主要知识产权和标准规范等目录</w:t>
      </w:r>
    </w:p>
    <w:tbl>
      <w:tblPr>
        <w:tblW w:w="9923" w:type="dxa"/>
        <w:tblInd w:w="-27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568"/>
        <w:gridCol w:w="1134"/>
        <w:gridCol w:w="1134"/>
        <w:gridCol w:w="693"/>
        <w:gridCol w:w="1008"/>
        <w:gridCol w:w="992"/>
        <w:gridCol w:w="1134"/>
        <w:gridCol w:w="1843"/>
        <w:gridCol w:w="1417"/>
      </w:tblGrid>
      <w:tr w:rsidR="002A259D" w:rsidRPr="00CE59DA" w:rsidTr="00407A77">
        <w:tc>
          <w:tcPr>
            <w:tcW w:w="568" w:type="dxa"/>
            <w:vAlign w:val="center"/>
          </w:tcPr>
          <w:p w:rsidR="002A259D" w:rsidRPr="00CE59DA" w:rsidRDefault="002A259D" w:rsidP="004845CD">
            <w:pPr>
              <w:widowControl/>
              <w:spacing w:line="300" w:lineRule="exact"/>
              <w:jc w:val="center"/>
              <w:rPr>
                <w:rFonts w:ascii="Times New Roman" w:eastAsia="方正仿宋_GBK" w:hAnsi="Times New Roman" w:cs="宋体"/>
                <w:b/>
                <w:kern w:val="0"/>
                <w:sz w:val="24"/>
                <w:szCs w:val="20"/>
              </w:rPr>
            </w:pPr>
            <w:r w:rsidRPr="00CE59DA">
              <w:rPr>
                <w:rFonts w:ascii="Times New Roman" w:eastAsia="方正仿宋_GBK" w:hAnsi="Times New Roman" w:cs="宋体" w:hint="eastAsia"/>
                <w:b/>
                <w:kern w:val="0"/>
                <w:sz w:val="24"/>
                <w:szCs w:val="20"/>
              </w:rPr>
              <w:t>序号</w:t>
            </w:r>
          </w:p>
        </w:tc>
        <w:tc>
          <w:tcPr>
            <w:tcW w:w="1134" w:type="dxa"/>
            <w:vAlign w:val="center"/>
            <w:hideMark/>
          </w:tcPr>
          <w:p w:rsidR="002A259D" w:rsidRPr="00CE59DA" w:rsidRDefault="002A259D" w:rsidP="004845CD">
            <w:pPr>
              <w:widowControl/>
              <w:spacing w:line="300" w:lineRule="exact"/>
              <w:jc w:val="center"/>
              <w:rPr>
                <w:rFonts w:ascii="Times New Roman" w:eastAsia="方正仿宋_GBK" w:hAnsi="Times New Roman" w:cs="宋体"/>
                <w:b/>
                <w:kern w:val="0"/>
                <w:sz w:val="24"/>
                <w:szCs w:val="20"/>
              </w:rPr>
            </w:pPr>
            <w:r w:rsidRPr="00CE59DA">
              <w:rPr>
                <w:rFonts w:ascii="Times New Roman" w:eastAsia="方正仿宋_GBK" w:hAnsi="Times New Roman" w:cs="宋体" w:hint="eastAsia"/>
                <w:b/>
                <w:kern w:val="0"/>
                <w:sz w:val="24"/>
              </w:rPr>
              <w:t>知识产权类别</w:t>
            </w:r>
          </w:p>
        </w:tc>
        <w:tc>
          <w:tcPr>
            <w:tcW w:w="1134" w:type="dxa"/>
            <w:vAlign w:val="center"/>
            <w:hideMark/>
          </w:tcPr>
          <w:p w:rsidR="002A259D" w:rsidRPr="00CE59DA" w:rsidRDefault="002A259D" w:rsidP="004845CD">
            <w:pPr>
              <w:widowControl/>
              <w:spacing w:line="300" w:lineRule="exact"/>
              <w:jc w:val="center"/>
              <w:rPr>
                <w:rFonts w:ascii="Times New Roman" w:eastAsia="方正仿宋_GBK" w:hAnsi="Times New Roman" w:cs="宋体"/>
                <w:b/>
                <w:kern w:val="0"/>
                <w:sz w:val="24"/>
                <w:szCs w:val="20"/>
              </w:rPr>
            </w:pPr>
            <w:r w:rsidRPr="00CE59DA">
              <w:rPr>
                <w:rFonts w:ascii="Times New Roman" w:eastAsia="方正仿宋_GBK" w:hAnsi="Times New Roman" w:cs="宋体" w:hint="eastAsia"/>
                <w:b/>
                <w:kern w:val="0"/>
                <w:sz w:val="24"/>
              </w:rPr>
              <w:t>知识产权具体名称</w:t>
            </w:r>
          </w:p>
        </w:tc>
        <w:tc>
          <w:tcPr>
            <w:tcW w:w="693" w:type="dxa"/>
            <w:vAlign w:val="center"/>
            <w:hideMark/>
          </w:tcPr>
          <w:p w:rsidR="002A259D" w:rsidRPr="00CE59DA" w:rsidRDefault="002A259D" w:rsidP="004845CD">
            <w:pPr>
              <w:widowControl/>
              <w:spacing w:line="300" w:lineRule="exact"/>
              <w:jc w:val="center"/>
              <w:rPr>
                <w:rFonts w:ascii="Times New Roman" w:eastAsia="方正仿宋_GBK" w:hAnsi="Times New Roman" w:cs="宋体"/>
                <w:b/>
                <w:kern w:val="0"/>
                <w:sz w:val="24"/>
                <w:szCs w:val="20"/>
              </w:rPr>
            </w:pPr>
            <w:r w:rsidRPr="00CE59DA">
              <w:rPr>
                <w:rFonts w:ascii="Times New Roman" w:eastAsia="方正仿宋_GBK" w:hAnsi="Times New Roman" w:cs="宋体" w:hint="eastAsia"/>
                <w:b/>
                <w:kern w:val="0"/>
                <w:sz w:val="24"/>
              </w:rPr>
              <w:t>国家（地区）</w:t>
            </w:r>
          </w:p>
        </w:tc>
        <w:tc>
          <w:tcPr>
            <w:tcW w:w="1008" w:type="dxa"/>
            <w:vAlign w:val="center"/>
            <w:hideMark/>
          </w:tcPr>
          <w:p w:rsidR="002A259D" w:rsidRPr="00CE59DA" w:rsidRDefault="002A259D" w:rsidP="004845CD">
            <w:pPr>
              <w:widowControl/>
              <w:spacing w:line="300" w:lineRule="exact"/>
              <w:jc w:val="center"/>
              <w:rPr>
                <w:rFonts w:ascii="Times New Roman" w:eastAsia="方正仿宋_GBK" w:hAnsi="Times New Roman" w:cs="宋体"/>
                <w:b/>
                <w:kern w:val="0"/>
                <w:sz w:val="24"/>
                <w:szCs w:val="20"/>
              </w:rPr>
            </w:pPr>
            <w:r w:rsidRPr="00CE59DA">
              <w:rPr>
                <w:rFonts w:ascii="Times New Roman" w:eastAsia="方正仿宋_GBK" w:hAnsi="Times New Roman" w:cs="宋体" w:hint="eastAsia"/>
                <w:b/>
                <w:kern w:val="0"/>
                <w:sz w:val="24"/>
              </w:rPr>
              <w:t>授权号</w:t>
            </w:r>
          </w:p>
        </w:tc>
        <w:tc>
          <w:tcPr>
            <w:tcW w:w="992" w:type="dxa"/>
            <w:vAlign w:val="center"/>
            <w:hideMark/>
          </w:tcPr>
          <w:p w:rsidR="002A259D" w:rsidRPr="00CE59DA" w:rsidRDefault="002A259D" w:rsidP="004845CD">
            <w:pPr>
              <w:widowControl/>
              <w:spacing w:line="300" w:lineRule="exact"/>
              <w:jc w:val="center"/>
              <w:rPr>
                <w:rFonts w:ascii="Times New Roman" w:eastAsia="方正仿宋_GBK" w:hAnsi="Times New Roman" w:cs="宋体"/>
                <w:b/>
                <w:kern w:val="0"/>
                <w:sz w:val="24"/>
                <w:szCs w:val="20"/>
              </w:rPr>
            </w:pPr>
            <w:r w:rsidRPr="00CE59DA">
              <w:rPr>
                <w:rFonts w:ascii="Times New Roman" w:eastAsia="方正仿宋_GBK" w:hAnsi="Times New Roman" w:cs="宋体" w:hint="eastAsia"/>
                <w:b/>
                <w:kern w:val="0"/>
                <w:sz w:val="24"/>
              </w:rPr>
              <w:t>授权日期</w:t>
            </w:r>
          </w:p>
        </w:tc>
        <w:tc>
          <w:tcPr>
            <w:tcW w:w="1134" w:type="dxa"/>
            <w:vAlign w:val="center"/>
            <w:hideMark/>
          </w:tcPr>
          <w:p w:rsidR="002A259D" w:rsidRPr="00CE59DA" w:rsidRDefault="002A259D" w:rsidP="004845CD">
            <w:pPr>
              <w:widowControl/>
              <w:spacing w:line="300" w:lineRule="exact"/>
              <w:jc w:val="center"/>
              <w:rPr>
                <w:rFonts w:ascii="Times New Roman" w:eastAsia="方正仿宋_GBK" w:hAnsi="Times New Roman" w:cs="宋体"/>
                <w:b/>
                <w:kern w:val="0"/>
                <w:sz w:val="24"/>
                <w:szCs w:val="20"/>
              </w:rPr>
            </w:pPr>
            <w:r w:rsidRPr="00CE59DA">
              <w:rPr>
                <w:rFonts w:ascii="Times New Roman" w:eastAsia="方正仿宋_GBK" w:hAnsi="Times New Roman" w:cs="宋体" w:hint="eastAsia"/>
                <w:b/>
                <w:kern w:val="0"/>
                <w:sz w:val="24"/>
              </w:rPr>
              <w:t>证书编号</w:t>
            </w:r>
          </w:p>
        </w:tc>
        <w:tc>
          <w:tcPr>
            <w:tcW w:w="1843" w:type="dxa"/>
            <w:vAlign w:val="center"/>
            <w:hideMark/>
          </w:tcPr>
          <w:p w:rsidR="002A259D" w:rsidRPr="00CE59DA" w:rsidRDefault="002A259D" w:rsidP="004845CD">
            <w:pPr>
              <w:widowControl/>
              <w:spacing w:line="300" w:lineRule="exact"/>
              <w:jc w:val="center"/>
              <w:rPr>
                <w:rFonts w:ascii="Times New Roman" w:eastAsia="方正仿宋_GBK" w:hAnsi="Times New Roman" w:cs="宋体"/>
                <w:b/>
                <w:kern w:val="0"/>
                <w:sz w:val="24"/>
                <w:szCs w:val="20"/>
              </w:rPr>
            </w:pPr>
            <w:r w:rsidRPr="00CE59DA">
              <w:rPr>
                <w:rFonts w:ascii="Times New Roman" w:eastAsia="方正仿宋_GBK" w:hAnsi="Times New Roman" w:cs="宋体" w:hint="eastAsia"/>
                <w:b/>
                <w:kern w:val="0"/>
                <w:sz w:val="24"/>
              </w:rPr>
              <w:t>权利人</w:t>
            </w:r>
          </w:p>
        </w:tc>
        <w:tc>
          <w:tcPr>
            <w:tcW w:w="1417" w:type="dxa"/>
            <w:vAlign w:val="center"/>
            <w:hideMark/>
          </w:tcPr>
          <w:p w:rsidR="002A259D" w:rsidRPr="00CE59DA" w:rsidRDefault="002A259D" w:rsidP="004845CD">
            <w:pPr>
              <w:widowControl/>
              <w:spacing w:line="300" w:lineRule="exact"/>
              <w:jc w:val="center"/>
              <w:rPr>
                <w:rFonts w:ascii="Times New Roman" w:eastAsia="方正仿宋_GBK" w:hAnsi="Times New Roman" w:cs="宋体"/>
                <w:b/>
                <w:kern w:val="0"/>
                <w:sz w:val="24"/>
                <w:szCs w:val="20"/>
              </w:rPr>
            </w:pPr>
            <w:r w:rsidRPr="00CE59DA">
              <w:rPr>
                <w:rFonts w:ascii="Times New Roman" w:eastAsia="方正仿宋_GBK" w:hAnsi="Times New Roman" w:cs="宋体" w:hint="eastAsia"/>
                <w:b/>
                <w:kern w:val="0"/>
                <w:sz w:val="24"/>
              </w:rPr>
              <w:t>发明人</w:t>
            </w:r>
          </w:p>
        </w:tc>
      </w:tr>
      <w:tr w:rsidR="000B2478" w:rsidRPr="00CE59DA" w:rsidTr="004F39CA">
        <w:tc>
          <w:tcPr>
            <w:tcW w:w="568" w:type="dxa"/>
            <w:vAlign w:val="center"/>
          </w:tcPr>
          <w:p w:rsidR="000B2478" w:rsidRPr="000B2478"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r>
              <w:rPr>
                <w:rFonts w:ascii="Times New Roman" w:eastAsia="方正仿宋_GBK" w:hAnsi="Times New Roman" w:cs="宋体" w:hint="eastAsia"/>
                <w:kern w:val="0"/>
                <w:sz w:val="24"/>
                <w:szCs w:val="20"/>
              </w:rPr>
              <w:t>1</w:t>
            </w:r>
          </w:p>
        </w:tc>
        <w:tc>
          <w:tcPr>
            <w:tcW w:w="1134"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134"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693"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008"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992"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134"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843"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417" w:type="dxa"/>
            <w:vAlign w:val="center"/>
          </w:tcPr>
          <w:p w:rsidR="000B2478" w:rsidRPr="00481203" w:rsidRDefault="000B2478" w:rsidP="000B2478">
            <w:pPr>
              <w:widowControl/>
              <w:spacing w:line="300" w:lineRule="exact"/>
              <w:jc w:val="left"/>
              <w:rPr>
                <w:rFonts w:ascii="Times New Roman" w:eastAsia="方正仿宋_GBK" w:hAnsi="Times New Roman" w:cs="宋体"/>
                <w:kern w:val="0"/>
                <w:sz w:val="24"/>
                <w:szCs w:val="20"/>
              </w:rPr>
            </w:pPr>
          </w:p>
        </w:tc>
      </w:tr>
      <w:tr w:rsidR="000B2478" w:rsidRPr="00CE59DA" w:rsidTr="004F39CA">
        <w:tc>
          <w:tcPr>
            <w:tcW w:w="568" w:type="dxa"/>
            <w:vAlign w:val="center"/>
          </w:tcPr>
          <w:p w:rsidR="000B2478" w:rsidRPr="000B2478"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r>
              <w:rPr>
                <w:rFonts w:ascii="Times New Roman" w:eastAsia="方正仿宋_GBK" w:hAnsi="Times New Roman" w:cs="宋体" w:hint="eastAsia"/>
                <w:kern w:val="0"/>
                <w:sz w:val="24"/>
                <w:szCs w:val="20"/>
              </w:rPr>
              <w:t>2</w:t>
            </w:r>
          </w:p>
        </w:tc>
        <w:tc>
          <w:tcPr>
            <w:tcW w:w="1134" w:type="dxa"/>
          </w:tcPr>
          <w:p w:rsidR="000B2478" w:rsidRPr="000B2478"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134" w:type="dxa"/>
          </w:tcPr>
          <w:p w:rsidR="000B2478" w:rsidRPr="000B2478"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693"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008"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992"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134"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843" w:type="dxa"/>
          </w:tcPr>
          <w:p w:rsidR="000B2478" w:rsidRDefault="000B2478" w:rsidP="00407A77">
            <w:pPr>
              <w:spacing w:beforeLines="50" w:before="156" w:afterLines="50" w:after="156"/>
              <w:jc w:val="center"/>
            </w:pPr>
          </w:p>
        </w:tc>
        <w:tc>
          <w:tcPr>
            <w:tcW w:w="1417" w:type="dxa"/>
            <w:vAlign w:val="center"/>
          </w:tcPr>
          <w:p w:rsidR="000B2478" w:rsidRPr="00481203" w:rsidRDefault="000B2478" w:rsidP="000B2478">
            <w:pPr>
              <w:widowControl/>
              <w:spacing w:line="300" w:lineRule="exact"/>
              <w:jc w:val="left"/>
              <w:rPr>
                <w:rFonts w:ascii="Times New Roman" w:eastAsia="方正仿宋_GBK" w:hAnsi="Times New Roman" w:cs="宋体"/>
                <w:kern w:val="0"/>
                <w:sz w:val="24"/>
                <w:szCs w:val="20"/>
              </w:rPr>
            </w:pPr>
          </w:p>
        </w:tc>
      </w:tr>
      <w:tr w:rsidR="000B2478" w:rsidRPr="00CE59DA" w:rsidTr="004F39CA">
        <w:tc>
          <w:tcPr>
            <w:tcW w:w="568" w:type="dxa"/>
            <w:vAlign w:val="center"/>
          </w:tcPr>
          <w:p w:rsidR="000B2478" w:rsidRPr="000B2478"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r>
              <w:rPr>
                <w:rFonts w:ascii="Times New Roman" w:eastAsia="方正仿宋_GBK" w:hAnsi="Times New Roman" w:cs="宋体" w:hint="eastAsia"/>
                <w:kern w:val="0"/>
                <w:sz w:val="24"/>
                <w:szCs w:val="20"/>
              </w:rPr>
              <w:t>3</w:t>
            </w:r>
          </w:p>
        </w:tc>
        <w:tc>
          <w:tcPr>
            <w:tcW w:w="1134" w:type="dxa"/>
          </w:tcPr>
          <w:p w:rsidR="000B2478" w:rsidRPr="000B2478"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134" w:type="dxa"/>
          </w:tcPr>
          <w:p w:rsidR="000B2478" w:rsidRPr="000B2478"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693"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008"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992"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134"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843" w:type="dxa"/>
          </w:tcPr>
          <w:p w:rsidR="000B2478" w:rsidRDefault="000B2478" w:rsidP="00407A77">
            <w:pPr>
              <w:spacing w:beforeLines="50" w:before="156" w:afterLines="50" w:after="156"/>
              <w:jc w:val="center"/>
            </w:pPr>
          </w:p>
        </w:tc>
        <w:tc>
          <w:tcPr>
            <w:tcW w:w="1417" w:type="dxa"/>
            <w:vAlign w:val="center"/>
          </w:tcPr>
          <w:p w:rsidR="000B2478" w:rsidRPr="00481203" w:rsidRDefault="000B2478" w:rsidP="000B2478">
            <w:pPr>
              <w:widowControl/>
              <w:spacing w:line="300" w:lineRule="exact"/>
              <w:jc w:val="left"/>
              <w:rPr>
                <w:rFonts w:ascii="Times New Roman" w:eastAsia="方正仿宋_GBK" w:hAnsi="Times New Roman" w:cs="宋体"/>
                <w:kern w:val="0"/>
                <w:sz w:val="24"/>
                <w:szCs w:val="20"/>
              </w:rPr>
            </w:pPr>
          </w:p>
        </w:tc>
      </w:tr>
      <w:tr w:rsidR="000B2478" w:rsidRPr="00CE59DA" w:rsidTr="004F39CA">
        <w:tc>
          <w:tcPr>
            <w:tcW w:w="568" w:type="dxa"/>
            <w:vAlign w:val="center"/>
          </w:tcPr>
          <w:p w:rsidR="000B2478" w:rsidRPr="000B2478"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r>
              <w:rPr>
                <w:rFonts w:ascii="Times New Roman" w:eastAsia="方正仿宋_GBK" w:hAnsi="Times New Roman" w:cs="宋体" w:hint="eastAsia"/>
                <w:kern w:val="0"/>
                <w:sz w:val="24"/>
                <w:szCs w:val="20"/>
              </w:rPr>
              <w:t>4</w:t>
            </w:r>
          </w:p>
        </w:tc>
        <w:tc>
          <w:tcPr>
            <w:tcW w:w="1134" w:type="dxa"/>
          </w:tcPr>
          <w:p w:rsidR="000B2478" w:rsidRPr="000B2478"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134" w:type="dxa"/>
          </w:tcPr>
          <w:p w:rsidR="000B2478" w:rsidRPr="000B2478"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693"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008"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992"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134"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843" w:type="dxa"/>
          </w:tcPr>
          <w:p w:rsidR="000B2478" w:rsidRDefault="000B2478" w:rsidP="00407A77">
            <w:pPr>
              <w:spacing w:beforeLines="50" w:before="156" w:afterLines="50" w:after="156"/>
              <w:jc w:val="center"/>
            </w:pPr>
          </w:p>
        </w:tc>
        <w:tc>
          <w:tcPr>
            <w:tcW w:w="1417" w:type="dxa"/>
            <w:vAlign w:val="center"/>
          </w:tcPr>
          <w:p w:rsidR="000B2478" w:rsidRPr="00481203" w:rsidRDefault="000B2478" w:rsidP="000B2478">
            <w:pPr>
              <w:widowControl/>
              <w:spacing w:line="300" w:lineRule="exact"/>
              <w:jc w:val="left"/>
              <w:rPr>
                <w:rFonts w:ascii="Times New Roman" w:eastAsia="方正仿宋_GBK" w:hAnsi="Times New Roman" w:cs="宋体"/>
                <w:kern w:val="0"/>
                <w:sz w:val="24"/>
                <w:szCs w:val="20"/>
              </w:rPr>
            </w:pPr>
          </w:p>
        </w:tc>
      </w:tr>
      <w:tr w:rsidR="000B2478" w:rsidRPr="00CE59DA" w:rsidTr="004F39CA">
        <w:tc>
          <w:tcPr>
            <w:tcW w:w="568" w:type="dxa"/>
            <w:vAlign w:val="center"/>
          </w:tcPr>
          <w:p w:rsidR="000B2478" w:rsidRPr="000B2478"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r>
              <w:rPr>
                <w:rFonts w:ascii="Times New Roman" w:eastAsia="方正仿宋_GBK" w:hAnsi="Times New Roman" w:cs="宋体" w:hint="eastAsia"/>
                <w:kern w:val="0"/>
                <w:sz w:val="24"/>
                <w:szCs w:val="20"/>
              </w:rPr>
              <w:t>5</w:t>
            </w:r>
          </w:p>
        </w:tc>
        <w:tc>
          <w:tcPr>
            <w:tcW w:w="1134" w:type="dxa"/>
          </w:tcPr>
          <w:p w:rsidR="000B2478" w:rsidRPr="000B2478"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134" w:type="dxa"/>
          </w:tcPr>
          <w:p w:rsidR="000B2478" w:rsidRPr="000B2478"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693"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008"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992"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134"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843" w:type="dxa"/>
          </w:tcPr>
          <w:p w:rsidR="000B2478" w:rsidRDefault="000B2478" w:rsidP="00407A77">
            <w:pPr>
              <w:spacing w:beforeLines="50" w:before="156" w:afterLines="50" w:after="156"/>
              <w:jc w:val="center"/>
            </w:pPr>
          </w:p>
        </w:tc>
        <w:tc>
          <w:tcPr>
            <w:tcW w:w="1417" w:type="dxa"/>
            <w:vAlign w:val="center"/>
          </w:tcPr>
          <w:p w:rsidR="000B2478" w:rsidRPr="00481203" w:rsidRDefault="000B2478" w:rsidP="000B2478">
            <w:pPr>
              <w:widowControl/>
              <w:spacing w:line="300" w:lineRule="exact"/>
              <w:jc w:val="left"/>
              <w:rPr>
                <w:rFonts w:ascii="Times New Roman" w:eastAsia="方正仿宋_GBK" w:hAnsi="Times New Roman" w:cs="宋体"/>
                <w:kern w:val="0"/>
                <w:sz w:val="24"/>
                <w:szCs w:val="20"/>
              </w:rPr>
            </w:pPr>
          </w:p>
        </w:tc>
      </w:tr>
      <w:tr w:rsidR="002A259D" w:rsidRPr="00CE59DA" w:rsidTr="004F39CA">
        <w:tc>
          <w:tcPr>
            <w:tcW w:w="568" w:type="dxa"/>
            <w:vAlign w:val="center"/>
          </w:tcPr>
          <w:p w:rsidR="002A259D" w:rsidRPr="000B2478"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r>
              <w:rPr>
                <w:rFonts w:ascii="Times New Roman" w:eastAsia="方正仿宋_GBK" w:hAnsi="Times New Roman" w:cs="宋体" w:hint="eastAsia"/>
                <w:kern w:val="0"/>
                <w:sz w:val="24"/>
                <w:szCs w:val="20"/>
              </w:rPr>
              <w:t>6</w:t>
            </w:r>
          </w:p>
        </w:tc>
        <w:tc>
          <w:tcPr>
            <w:tcW w:w="1134" w:type="dxa"/>
            <w:vAlign w:val="center"/>
          </w:tcPr>
          <w:p w:rsidR="002A259D" w:rsidRPr="00481203" w:rsidRDefault="002A259D"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134" w:type="dxa"/>
            <w:vAlign w:val="center"/>
          </w:tcPr>
          <w:p w:rsidR="002A259D" w:rsidRPr="00481203" w:rsidRDefault="002A259D"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693" w:type="dxa"/>
            <w:vAlign w:val="center"/>
          </w:tcPr>
          <w:p w:rsidR="002A259D" w:rsidRPr="00481203" w:rsidRDefault="002A259D"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008" w:type="dxa"/>
            <w:vAlign w:val="center"/>
          </w:tcPr>
          <w:p w:rsidR="002A259D" w:rsidRPr="00481203" w:rsidRDefault="002A259D"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992" w:type="dxa"/>
            <w:vAlign w:val="center"/>
          </w:tcPr>
          <w:p w:rsidR="002A259D" w:rsidRPr="00481203" w:rsidRDefault="002A259D"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134" w:type="dxa"/>
            <w:vAlign w:val="center"/>
          </w:tcPr>
          <w:p w:rsidR="002A259D" w:rsidRPr="00481203" w:rsidRDefault="002A259D"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843" w:type="dxa"/>
            <w:vAlign w:val="center"/>
          </w:tcPr>
          <w:p w:rsidR="002A259D" w:rsidRPr="00481203" w:rsidRDefault="002A259D"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417" w:type="dxa"/>
            <w:vAlign w:val="center"/>
          </w:tcPr>
          <w:p w:rsidR="002A259D" w:rsidRPr="00481203" w:rsidRDefault="002A259D" w:rsidP="004845CD">
            <w:pPr>
              <w:widowControl/>
              <w:spacing w:line="300" w:lineRule="exact"/>
              <w:jc w:val="left"/>
              <w:rPr>
                <w:rFonts w:ascii="Times New Roman" w:eastAsia="方正仿宋_GBK" w:hAnsi="Times New Roman" w:cs="宋体"/>
                <w:kern w:val="0"/>
                <w:sz w:val="24"/>
                <w:szCs w:val="20"/>
              </w:rPr>
            </w:pPr>
          </w:p>
        </w:tc>
      </w:tr>
      <w:tr w:rsidR="002A259D" w:rsidRPr="00CE59DA" w:rsidTr="004F39CA">
        <w:tc>
          <w:tcPr>
            <w:tcW w:w="568" w:type="dxa"/>
            <w:vAlign w:val="center"/>
          </w:tcPr>
          <w:p w:rsidR="002A259D" w:rsidRPr="000B2478"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r>
              <w:rPr>
                <w:rFonts w:ascii="Times New Roman" w:eastAsia="方正仿宋_GBK" w:hAnsi="Times New Roman" w:cs="宋体" w:hint="eastAsia"/>
                <w:kern w:val="0"/>
                <w:sz w:val="24"/>
                <w:szCs w:val="20"/>
              </w:rPr>
              <w:t>7</w:t>
            </w:r>
          </w:p>
        </w:tc>
        <w:tc>
          <w:tcPr>
            <w:tcW w:w="1134" w:type="dxa"/>
            <w:vAlign w:val="center"/>
          </w:tcPr>
          <w:p w:rsidR="002A259D" w:rsidRPr="00481203" w:rsidRDefault="002A259D"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134" w:type="dxa"/>
            <w:vAlign w:val="center"/>
          </w:tcPr>
          <w:p w:rsidR="002A259D" w:rsidRPr="00481203" w:rsidRDefault="002A259D"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693" w:type="dxa"/>
            <w:vAlign w:val="center"/>
          </w:tcPr>
          <w:p w:rsidR="002A259D" w:rsidRPr="00481203" w:rsidRDefault="002A259D"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008" w:type="dxa"/>
            <w:vAlign w:val="center"/>
          </w:tcPr>
          <w:p w:rsidR="002A259D" w:rsidRPr="00481203" w:rsidRDefault="002A259D"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992" w:type="dxa"/>
            <w:vAlign w:val="center"/>
          </w:tcPr>
          <w:p w:rsidR="002A259D" w:rsidRPr="00481203" w:rsidRDefault="002A259D"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134" w:type="dxa"/>
            <w:vAlign w:val="center"/>
          </w:tcPr>
          <w:p w:rsidR="002A259D" w:rsidRPr="00481203" w:rsidRDefault="002A259D"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843" w:type="dxa"/>
            <w:vAlign w:val="center"/>
          </w:tcPr>
          <w:p w:rsidR="002A259D" w:rsidRPr="00481203" w:rsidRDefault="002A259D"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417" w:type="dxa"/>
            <w:vAlign w:val="center"/>
          </w:tcPr>
          <w:p w:rsidR="002A259D" w:rsidRPr="00481203" w:rsidRDefault="002A259D" w:rsidP="004845CD">
            <w:pPr>
              <w:widowControl/>
              <w:spacing w:line="300" w:lineRule="exact"/>
              <w:jc w:val="left"/>
              <w:rPr>
                <w:rFonts w:ascii="Times New Roman" w:eastAsia="方正仿宋_GBK" w:hAnsi="Times New Roman" w:cs="宋体"/>
                <w:kern w:val="0"/>
                <w:sz w:val="24"/>
                <w:szCs w:val="20"/>
              </w:rPr>
            </w:pPr>
          </w:p>
        </w:tc>
      </w:tr>
      <w:tr w:rsidR="000B2478" w:rsidRPr="00CE59DA" w:rsidTr="004F39CA">
        <w:tc>
          <w:tcPr>
            <w:tcW w:w="568" w:type="dxa"/>
            <w:vAlign w:val="center"/>
          </w:tcPr>
          <w:p w:rsidR="000B2478" w:rsidRPr="000B2478"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r>
              <w:rPr>
                <w:rFonts w:ascii="Times New Roman" w:eastAsia="方正仿宋_GBK" w:hAnsi="Times New Roman" w:cs="宋体" w:hint="eastAsia"/>
                <w:kern w:val="0"/>
                <w:sz w:val="24"/>
                <w:szCs w:val="20"/>
              </w:rPr>
              <w:t>8</w:t>
            </w:r>
          </w:p>
        </w:tc>
        <w:tc>
          <w:tcPr>
            <w:tcW w:w="1134"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134"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693" w:type="dxa"/>
          </w:tcPr>
          <w:p w:rsidR="000B2478" w:rsidRDefault="000B2478" w:rsidP="00407A77">
            <w:pPr>
              <w:spacing w:beforeLines="50" w:before="156" w:afterLines="50" w:after="156"/>
              <w:jc w:val="center"/>
            </w:pPr>
          </w:p>
        </w:tc>
        <w:tc>
          <w:tcPr>
            <w:tcW w:w="1008"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992"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134"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843" w:type="dxa"/>
            <w:vAlign w:val="center"/>
          </w:tcPr>
          <w:p w:rsidR="000B2478" w:rsidRPr="00481203" w:rsidRDefault="000B2478" w:rsidP="00407A77">
            <w:pPr>
              <w:widowControl/>
              <w:spacing w:beforeLines="50" w:before="156" w:afterLines="50" w:after="156" w:line="300" w:lineRule="exact"/>
              <w:jc w:val="center"/>
              <w:rPr>
                <w:rFonts w:ascii="Times New Roman" w:eastAsia="方正仿宋_GBK" w:hAnsi="Times New Roman" w:cs="宋体"/>
                <w:kern w:val="0"/>
                <w:sz w:val="24"/>
                <w:szCs w:val="20"/>
              </w:rPr>
            </w:pPr>
          </w:p>
        </w:tc>
        <w:tc>
          <w:tcPr>
            <w:tcW w:w="1417" w:type="dxa"/>
            <w:vAlign w:val="center"/>
          </w:tcPr>
          <w:p w:rsidR="000B2478" w:rsidRPr="00481203" w:rsidRDefault="000B2478" w:rsidP="000B2478">
            <w:pPr>
              <w:widowControl/>
              <w:spacing w:line="300" w:lineRule="exact"/>
              <w:jc w:val="left"/>
              <w:rPr>
                <w:rFonts w:ascii="Times New Roman" w:eastAsia="方正仿宋_GBK" w:hAnsi="Times New Roman" w:cs="宋体"/>
                <w:kern w:val="0"/>
                <w:sz w:val="24"/>
                <w:szCs w:val="20"/>
              </w:rPr>
            </w:pPr>
          </w:p>
        </w:tc>
      </w:tr>
    </w:tbl>
    <w:p w:rsidR="004E070F" w:rsidRPr="002A259D" w:rsidRDefault="004E070F" w:rsidP="004F39CA"/>
    <w:sectPr w:rsidR="004E070F" w:rsidRPr="002A259D" w:rsidSect="00CE59DA">
      <w:head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D38" w:rsidRDefault="002F6D38">
      <w:r>
        <w:separator/>
      </w:r>
    </w:p>
  </w:endnote>
  <w:endnote w:type="continuationSeparator" w:id="0">
    <w:p w:rsidR="002F6D38" w:rsidRDefault="002F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Microsoft YaHei UI"/>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D38" w:rsidRDefault="002F6D38">
      <w:r>
        <w:separator/>
      </w:r>
    </w:p>
  </w:footnote>
  <w:footnote w:type="continuationSeparator" w:id="0">
    <w:p w:rsidR="002F6D38" w:rsidRDefault="002F6D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296" w:rsidRDefault="00510202" w:rsidP="00AB029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452E5"/>
    <w:multiLevelType w:val="hybridMultilevel"/>
    <w:tmpl w:val="AEEADA7E"/>
    <w:lvl w:ilvl="0" w:tplc="1D9A0510">
      <w:start w:val="1"/>
      <w:numFmt w:val="decimal"/>
      <w:lvlText w:val="%1."/>
      <w:lvlJc w:val="center"/>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59D"/>
    <w:rsid w:val="000B2478"/>
    <w:rsid w:val="002A259D"/>
    <w:rsid w:val="002F6D38"/>
    <w:rsid w:val="00407A77"/>
    <w:rsid w:val="004E070F"/>
    <w:rsid w:val="004F39CA"/>
    <w:rsid w:val="00510202"/>
    <w:rsid w:val="005F1C10"/>
    <w:rsid w:val="006754BD"/>
    <w:rsid w:val="0067707E"/>
    <w:rsid w:val="007B5978"/>
    <w:rsid w:val="008B32FC"/>
    <w:rsid w:val="00C220EC"/>
    <w:rsid w:val="00E95479"/>
    <w:rsid w:val="00FA5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74F3C15-88CB-4D34-8F76-603C6D4A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59D"/>
    <w:rPr>
      <w:sz w:val="18"/>
      <w:szCs w:val="18"/>
    </w:rPr>
  </w:style>
  <w:style w:type="table" w:styleId="a5">
    <w:name w:val="Table Grid"/>
    <w:basedOn w:val="a1"/>
    <w:uiPriority w:val="39"/>
    <w:rsid w:val="002A2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2A259D"/>
    <w:rPr>
      <w:b/>
      <w:bCs/>
    </w:rPr>
  </w:style>
  <w:style w:type="paragraph" w:styleId="a7">
    <w:name w:val="List Paragraph"/>
    <w:basedOn w:val="a"/>
    <w:uiPriority w:val="34"/>
    <w:qFormat/>
    <w:rsid w:val="002A259D"/>
    <w:pPr>
      <w:ind w:firstLineChars="200" w:firstLine="420"/>
    </w:pPr>
  </w:style>
  <w:style w:type="paragraph" w:styleId="a8">
    <w:name w:val="footer"/>
    <w:basedOn w:val="a"/>
    <w:link w:val="a9"/>
    <w:uiPriority w:val="99"/>
    <w:unhideWhenUsed/>
    <w:rsid w:val="00FA5EC2"/>
    <w:pPr>
      <w:tabs>
        <w:tab w:val="center" w:pos="4153"/>
        <w:tab w:val="right" w:pos="8306"/>
      </w:tabs>
      <w:snapToGrid w:val="0"/>
      <w:jc w:val="left"/>
    </w:pPr>
    <w:rPr>
      <w:sz w:val="18"/>
      <w:szCs w:val="18"/>
    </w:rPr>
  </w:style>
  <w:style w:type="character" w:customStyle="1" w:styleId="a9">
    <w:name w:val="页脚 字符"/>
    <w:basedOn w:val="a0"/>
    <w:link w:val="a8"/>
    <w:uiPriority w:val="99"/>
    <w:rsid w:val="00FA5E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1050</Characters>
  <Application>Microsoft Office Word</Application>
  <DocSecurity>4</DocSecurity>
  <Lines>8</Lines>
  <Paragraphs>2</Paragraphs>
  <ScaleCrop>false</ScaleCrop>
  <Company>china</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张莲</dc:creator>
  <cp:lastModifiedBy>cqscbjb@msn.cn</cp:lastModifiedBy>
  <cp:revision>2</cp:revision>
  <dcterms:created xsi:type="dcterms:W3CDTF">2021-09-10T02:30:00Z</dcterms:created>
  <dcterms:modified xsi:type="dcterms:W3CDTF">2021-09-10T02:30:00Z</dcterms:modified>
</cp:coreProperties>
</file>